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PARTICIPANT BRIEF</w:t>
            </w:r>
          </w:p>
        </w:tc>
      </w:tr>
    </w:tbl>
    <w:p/>
    <w:p>
      <w:pPr>
        <w:spacing w:before="160" w:after="80"/>
      </w:pPr>
      <w:r>
        <w:rPr>
          <w:b/>
          <w:color w:val="0D1B2A"/>
          <w:sz w:val="52"/>
        </w:rPr>
        <w:t>Wastewater Management Failure</w:t>
      </w:r>
    </w:p>
    <w:p>
      <w:pPr>
        <w:spacing w:after="80"/>
      </w:pPr>
      <w:r>
        <w:rPr>
          <w:color w:val="6C757D"/>
          <w:sz w:val="28"/>
        </w:rPr>
        <w:t>Wastewater Management Failure with third party dependencies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Internal Use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BCM Programme</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13 June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SCOPE</w:t>
            </w:r>
          </w:p>
        </w:tc>
      </w:tr>
    </w:tbl>
    <w:p>
      <w:pPr>
        <w:spacing w:after="40"/>
      </w:pPr>
    </w:p>
    <w:p>
      <w:pPr>
        <w:spacing w:after="80"/>
      </w:pPr>
      <w:r>
        <w:rPr>
          <w:color w:val="1A1A1A"/>
          <w:sz w:val="20"/>
        </w:rPr>
        <w:t>The aim of this exercise is: To evaluate Barwon Water's ability to manage a wastewater management failure while ensuring minimal disruption to services and compliance with regulatory requirements.</w:t>
      </w:r>
    </w:p>
    <w:p>
      <w:pPr>
        <w:spacing w:after="80"/>
      </w:pPr>
      <w:r>
        <w:rPr>
          <w:color w:val="1A1A1A"/>
          <w:sz w:val="20"/>
        </w:rPr>
        <w:t>This Participant Brief provides the background information, scenario context, exercise objectives, ground rules, and timeline required for effective participation. Please read this document in full before the exercise commences.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DETAILS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Wastewater Management Failure</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Sector / Context</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Scenario Name</w:t>
            </w:r>
          </w:p>
        </w:tc>
        <w:tc>
          <w:tcPr>
            <w:tcW w:type="dxa" w:w="6236"/>
          </w:tcPr>
          <w:p>
            <w:pPr>
              <w:jc w:val="left"/>
            </w:pPr>
            <w:r/>
            <w:r>
              <w:rPr>
                <w:b w:val="0"/>
                <w:color w:val="1A1A1A"/>
                <w:sz w:val="20"/>
              </w:rPr>
              <w:t>Wastewater Management Failure with third party dependencies</w:t>
            </w:r>
          </w:p>
        </w:tc>
      </w:tr>
      <w:tr>
        <w:tc>
          <w:tcPr>
            <w:tcW w:type="dxa" w:w="2835"/>
            <w:shd w:val="clear" w:color="auto" w:fill="D6E4F7"/>
          </w:tcPr>
          <w:p>
            <w:pPr>
              <w:jc w:val="left"/>
            </w:pPr>
            <w:r/>
            <w:r>
              <w:rPr>
                <w:b/>
                <w:color w:val="0D1B2A"/>
                <w:sz w:val="20"/>
              </w:rPr>
              <w:t>Scheduled Date</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No-Fault Principle</w:t>
            </w:r>
          </w:p>
        </w:tc>
        <w:tc>
          <w:tcPr>
            <w:tcW w:type="dxa" w:w="6236"/>
            <w:shd w:val="clear" w:color="auto" w:fill="F0F2F4"/>
          </w:tcPr>
          <w:p>
            <w:pPr>
              <w:jc w:val="left"/>
            </w:pPr>
            <w:r/>
            <w:r>
              <w:rPr>
                <w:b w:val="0"/>
                <w:color w:val="1A1A1A"/>
                <w:sz w:val="20"/>
              </w:rPr>
              <w:t>Yes — this is a learning exercise. There are no wrong answers.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AUTHORITY</w:t>
            </w:r>
          </w:p>
        </w:tc>
      </w:tr>
    </w:tbl>
    <w:p>
      <w:pPr>
        <w:spacing w:after="40"/>
      </w:pPr>
    </w:p>
    <w:p>
      <w:pPr>
        <w:spacing w:after="80"/>
      </w:pPr>
      <w:r>
        <w:rPr>
          <w:color w:val="1A1A1A"/>
          <w:sz w:val="20"/>
        </w:rPr>
        <w:t>This exercise is conducted under the organisation's Business Continuity Management (BCM) programme and is consistent with the requirements of ISO 22301:2019, the BCI Good Practice Guidelines (GPG 2018 PP6), and applicable regulatory obligations. The exercise has been approved by the BCM programme sponsor and forms part of the annual validation programme.</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p>
      <w:pPr>
        <w:spacing w:after="80"/>
      </w:pPr>
      <w:r>
        <w:rPr>
          <w:color w:val="1A1A1A"/>
          <w:sz w:val="20"/>
        </w:rPr>
        <w:t>The following roles apply during this exercise. All participants are expected to act within their designated role throughout the scenario.</w:t>
      </w:r>
    </w:p>
    <w:tbl>
      <w:tblPr>
        <w:tblStyle w:val="TableGrid"/>
        <w:tblW w:type="auto" w:w="0"/>
        <w:tblLook w:firstColumn="1" w:firstRow="1" w:lastColumn="0" w:lastRow="0" w:noHBand="0" w:noVBand="1" w:val="04A0"/>
      </w:tblPr>
      <w:tblGrid>
        <w:gridCol w:w="3135"/>
        <w:gridCol w:w="3135"/>
        <w:gridCol w:w="3135"/>
      </w:tblGrid>
      <w:tr>
        <w:tc>
          <w:tcPr>
            <w:tcW w:type="dxa" w:w="2551"/>
            <w:shd w:val="clear" w:color="auto" w:fill="0D1B2A"/>
          </w:tcPr>
          <w:p>
            <w:pPr>
              <w:jc w:val="left"/>
            </w:pPr>
            <w:r/>
            <w:r>
              <w:rPr>
                <w:b/>
                <w:color w:val="FFFFFF"/>
                <w:sz w:val="18"/>
              </w:rPr>
              <w:t>Role</w:t>
            </w:r>
          </w:p>
        </w:tc>
        <w:tc>
          <w:tcPr>
            <w:tcW w:type="dxa" w:w="5386"/>
            <w:shd w:val="clear" w:color="auto" w:fill="0D1B2A"/>
          </w:tcPr>
          <w:p>
            <w:pPr>
              <w:jc w:val="left"/>
            </w:pPr>
            <w:r/>
            <w:r>
              <w:rPr>
                <w:b/>
                <w:color w:val="FFFFFF"/>
                <w:sz w:val="18"/>
              </w:rPr>
              <w:t>Responsibility</w:t>
            </w:r>
          </w:p>
        </w:tc>
        <w:tc>
          <w:tcPr>
            <w:tcW w:type="dxa" w:w="1417"/>
            <w:shd w:val="clear" w:color="auto" w:fill="0D1B2A"/>
          </w:tcPr>
          <w:p>
            <w:pPr>
              <w:jc w:val="left"/>
            </w:pPr>
            <w:r/>
            <w:r>
              <w:rPr>
                <w:b/>
                <w:color w:val="FFFFFF"/>
                <w:sz w:val="18"/>
              </w:rPr>
              <w:t>Type</w:t>
            </w:r>
          </w:p>
        </w:tc>
      </w:tr>
      <w:tr>
        <w:tc>
          <w:tcPr>
            <w:tcW w:type="dxa" w:w="2551"/>
          </w:tcPr>
          <w:p>
            <w:pPr>
              <w:jc w:val="left"/>
            </w:pPr>
            <w:r/>
            <w:r>
              <w:rPr>
                <w:b w:val="0"/>
                <w:color w:val="1A1A1A"/>
                <w:sz w:val="18"/>
              </w:rPr>
              <w:t>Exercise Facilitator</w:t>
            </w:r>
          </w:p>
        </w:tc>
        <w:tc>
          <w:tcPr>
            <w:tcW w:type="dxa" w:w="5386"/>
          </w:tcPr>
          <w:p>
            <w:pPr>
              <w:jc w:val="left"/>
            </w:pPr>
            <w:r/>
            <w:r>
              <w:rPr>
                <w:b w:val="0"/>
                <w:color w:val="1A1A1A"/>
                <w:sz w:val="18"/>
              </w:rPr>
              <w:t>Leads the exercise; delivers injects; manages timing; ensures learning outcomes</w:t>
            </w:r>
          </w:p>
        </w:tc>
        <w:tc>
          <w:tcPr>
            <w:tcW w:type="dxa" w:w="1417"/>
          </w:tcPr>
          <w:p>
            <w:pPr>
              <w:jc w:val="left"/>
            </w:pPr>
            <w:r/>
            <w:r>
              <w:rPr>
                <w:b w:val="0"/>
                <w:color w:val="1A1A1A"/>
                <w:sz w:val="18"/>
              </w:rPr>
              <w:t>Facilitator</w:t>
            </w:r>
          </w:p>
        </w:tc>
      </w:tr>
      <w:tr>
        <w:tc>
          <w:tcPr>
            <w:tcW w:type="dxa" w:w="2551"/>
            <w:shd w:val="clear" w:color="auto" w:fill="F0F2F4"/>
          </w:tcPr>
          <w:p>
            <w:pPr>
              <w:jc w:val="left"/>
            </w:pPr>
            <w:r/>
            <w:r>
              <w:rPr>
                <w:b w:val="0"/>
                <w:color w:val="1A1A1A"/>
                <w:sz w:val="18"/>
              </w:rPr>
              <w:t>Exercise Observer</w:t>
            </w:r>
          </w:p>
        </w:tc>
        <w:tc>
          <w:tcPr>
            <w:tcW w:type="dxa" w:w="5386"/>
            <w:shd w:val="clear" w:color="auto" w:fill="F0F2F4"/>
          </w:tcPr>
          <w:p>
            <w:pPr>
              <w:jc w:val="left"/>
            </w:pPr>
            <w:r/>
            <w:r>
              <w:rPr>
                <w:b w:val="0"/>
                <w:color w:val="1A1A1A"/>
                <w:sz w:val="18"/>
              </w:rPr>
              <w:t>Observes participant behaviours against evaluation criteria; does not participate in decisions</w:t>
            </w:r>
          </w:p>
        </w:tc>
        <w:tc>
          <w:tcPr>
            <w:tcW w:type="dxa" w:w="1417"/>
            <w:shd w:val="clear" w:color="auto" w:fill="F0F2F4"/>
          </w:tcPr>
          <w:p>
            <w:pPr>
              <w:jc w:val="left"/>
            </w:pPr>
            <w:r/>
            <w:r>
              <w:rPr>
                <w:b w:val="0"/>
                <w:color w:val="1A1A1A"/>
                <w:sz w:val="18"/>
              </w:rPr>
              <w:t>Observer</w:t>
            </w:r>
          </w:p>
        </w:tc>
      </w:tr>
      <w:tr>
        <w:tc>
          <w:tcPr>
            <w:tcW w:type="dxa" w:w="2551"/>
          </w:tcPr>
          <w:p>
            <w:pPr>
              <w:jc w:val="left"/>
            </w:pPr>
            <w:r/>
            <w:r>
              <w:rPr>
                <w:b w:val="0"/>
                <w:color w:val="1A1A1A"/>
                <w:sz w:val="18"/>
              </w:rPr>
              <w:t>Participant</w:t>
            </w:r>
          </w:p>
        </w:tc>
        <w:tc>
          <w:tcPr>
            <w:tcW w:type="dxa" w:w="5386"/>
          </w:tcPr>
          <w:p>
            <w:pPr>
              <w:jc w:val="left"/>
            </w:pPr>
            <w:r/>
            <w:r>
              <w:rPr>
                <w:b w:val="0"/>
                <w:color w:val="1A1A1A"/>
                <w:sz w:val="18"/>
              </w:rPr>
              <w:t>Responds to injects in role; applies relevant plans and procedures; engages in discussion</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BCM Programme Owner</w:t>
            </w:r>
          </w:p>
        </w:tc>
        <w:tc>
          <w:tcPr>
            <w:tcW w:type="dxa" w:w="5386"/>
            <w:shd w:val="clear" w:color="auto" w:fill="F0F2F4"/>
          </w:tcPr>
          <w:p>
            <w:pPr>
              <w:jc w:val="left"/>
            </w:pPr>
            <w:r/>
            <w:r>
              <w:rPr>
                <w:b w:val="0"/>
                <w:color w:val="1A1A1A"/>
                <w:sz w:val="18"/>
              </w:rPr>
              <w:t>Exercise sponsor; receives the AAR; owns the improvement register</w:t>
            </w:r>
          </w:p>
        </w:tc>
        <w:tc>
          <w:tcPr>
            <w:tcW w:type="dxa" w:w="1417"/>
            <w:shd w:val="clear" w:color="auto" w:fill="F0F2F4"/>
          </w:tcPr>
          <w:p>
            <w:pPr>
              <w:jc w:val="left"/>
            </w:pPr>
            <w:r/>
            <w:r>
              <w:rPr>
                <w:b w:val="0"/>
                <w:color w:val="1A1A1A"/>
                <w:sz w:val="18"/>
              </w:rPr>
              <w:t>Governance</w:t>
            </w:r>
          </w:p>
        </w:tc>
      </w:tr>
      <w:tr>
        <w:tc>
          <w:tcPr>
            <w:tcW w:type="dxa" w:w="2551"/>
          </w:tcPr>
          <w:p>
            <w:pPr>
              <w:jc w:val="left"/>
            </w:pPr>
            <w:r/>
            <w:r>
              <w:rPr>
                <w:b w:val="0"/>
                <w:color w:val="1A1A1A"/>
                <w:sz w:val="18"/>
              </w:rPr>
              <w:t>Scribe / Note-taker</w:t>
            </w:r>
          </w:p>
        </w:tc>
        <w:tc>
          <w:tcPr>
            <w:tcW w:type="dxa" w:w="5386"/>
          </w:tcPr>
          <w:p>
            <w:pPr>
              <w:jc w:val="left"/>
            </w:pPr>
            <w:r/>
            <w:r>
              <w:rPr>
                <w:b w:val="0"/>
                <w:color w:val="1A1A1A"/>
                <w:sz w:val="18"/>
              </w:rPr>
              <w:t>Records decisions, actions, and notable observations throughout the exercise</w:t>
            </w:r>
          </w:p>
        </w:tc>
        <w:tc>
          <w:tcPr>
            <w:tcW w:type="dxa" w:w="1417"/>
          </w:tcPr>
          <w:p>
            <w:pPr>
              <w:jc w:val="left"/>
            </w:pPr>
            <w:r/>
            <w:r>
              <w:rPr>
                <w:b w:val="0"/>
                <w:color w:val="1A1A1A"/>
                <w:sz w:val="18"/>
              </w:rPr>
              <w:t>Support</w:t>
            </w:r>
          </w:p>
        </w:tc>
      </w:tr>
      <w:tr>
        <w:tc>
          <w:tcPr>
            <w:tcW w:type="dxa" w:w="2551"/>
            <w:shd w:val="clear" w:color="auto" w:fill="F0F2F4"/>
          </w:tcPr>
          <w:p>
            <w:pPr>
              <w:jc w:val="left"/>
            </w:pPr>
            <w:r/>
            <w:r>
              <w:rPr>
                <w:b w:val="0"/>
                <w:color w:val="1A1A1A"/>
                <w:sz w:val="18"/>
              </w:rPr>
              <w:t>Executive / Crisis Management Team</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r>
        <w:tc>
          <w:tcPr>
            <w:tcW w:type="dxa" w:w="2551"/>
          </w:tcPr>
          <w:p>
            <w:pPr>
              <w:jc w:val="left"/>
            </w:pPr>
            <w:r/>
            <w:r>
              <w:rPr>
                <w:b w:val="0"/>
                <w:color w:val="1A1A1A"/>
                <w:sz w:val="18"/>
              </w:rPr>
              <w:t>Communications / PR</w:t>
            </w:r>
          </w:p>
        </w:tc>
        <w:tc>
          <w:tcPr>
            <w:tcW w:type="dxa" w:w="5386"/>
          </w:tcPr>
          <w:p>
            <w:pPr>
              <w:jc w:val="left"/>
            </w:pPr>
            <w:r/>
            <w:r>
              <w:rPr>
                <w:b w:val="0"/>
                <w:color w:val="1A1A1A"/>
                <w:sz w:val="18"/>
              </w:rPr>
              <w:t>Exercise participant — respond to injects in designated role</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Business Continuity</w:t>
            </w:r>
          </w:p>
        </w:tc>
        <w:tc>
          <w:tcPr>
            <w:tcW w:type="dxa" w:w="5386"/>
            <w:shd w:val="clear" w:color="auto" w:fill="F0F2F4"/>
          </w:tcPr>
          <w:p>
            <w:pPr>
              <w:jc w:val="left"/>
            </w:pPr>
            <w:r/>
            <w:r>
              <w:rPr>
                <w:b w:val="0"/>
                <w:color w:val="1A1A1A"/>
                <w:sz w:val="18"/>
              </w:rPr>
              <w:t>Exercise participant — respond to injects in designated role</w:t>
            </w:r>
          </w:p>
        </w:tc>
        <w:tc>
          <w:tcPr>
            <w:tcW w:type="dxa" w:w="1417"/>
            <w:shd w:val="clear" w:color="auto" w:fill="F0F2F4"/>
          </w:tcPr>
          <w:p>
            <w:pPr>
              <w:jc w:val="left"/>
            </w:pPr>
            <w:r/>
            <w:r>
              <w:rPr>
                <w:b w:val="0"/>
                <w:color w:val="1A1A1A"/>
                <w:sz w:val="18"/>
              </w:rPr>
              <w:t>Participant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OBSERVER GUIDANCE: </w:t>
            </w:r>
            <w:r>
              <w:rPr>
                <w:color w:val="1A1A1A"/>
                <w:sz w:val="18"/>
              </w:rPr>
              <w:t>Observers must not prompt, assist, or intervene during the exercise. Their role is to record observations for the hot debrief and After Action Report.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LEARNING OBJECTIVES</w:t>
            </w:r>
          </w:p>
        </w:tc>
      </w:tr>
    </w:tbl>
    <w:p>
      <w:pPr>
        <w:spacing w:after="40"/>
      </w:pPr>
    </w:p>
    <w:p>
      <w:pPr>
        <w:spacing w:after="80"/>
      </w:pPr>
      <w:r>
        <w:rPr>
          <w:color w:val="1A1A1A"/>
          <w:sz w:val="20"/>
        </w:rPr>
        <w:t>The following objectives define what this exercise is designed to test and validate. Success criteria are defined for each objective and will be assessed in the After Action Report.</w:t>
      </w:r>
    </w:p>
    <w:tbl>
      <w:tblPr>
        <w:tblStyle w:val="TableGrid"/>
        <w:tblW w:type="auto" w:w="0"/>
        <w:tblLook w:firstColumn="1" w:firstRow="1" w:lastColumn="0" w:lastRow="0" w:noHBand="0" w:noVBand="1" w:val="04A0"/>
      </w:tblPr>
      <w:tblGrid>
        <w:gridCol w:w="2351"/>
        <w:gridCol w:w="2351"/>
        <w:gridCol w:w="2351"/>
        <w:gridCol w:w="2351"/>
      </w:tblGrid>
      <w:tr>
        <w:tc>
          <w:tcPr>
            <w:tcW w:type="dxa" w:w="454"/>
            <w:shd w:val="clear" w:color="auto" w:fill="0D1B2A"/>
          </w:tcPr>
          <w:p>
            <w:pPr>
              <w:jc w:val="left"/>
            </w:pPr>
            <w:r/>
            <w:r>
              <w:rPr>
                <w:b/>
                <w:color w:val="FFFFFF"/>
                <w:sz w:val="18"/>
              </w:rPr>
              <w:t>#</w:t>
            </w:r>
          </w:p>
        </w:tc>
        <w:tc>
          <w:tcPr>
            <w:tcW w:type="dxa" w:w="3685"/>
            <w:shd w:val="clear" w:color="auto" w:fill="0D1B2A"/>
          </w:tcPr>
          <w:p>
            <w:pPr>
              <w:jc w:val="left"/>
            </w:pPr>
            <w:r/>
            <w:r>
              <w:rPr>
                <w:b/>
                <w:color w:val="FFFFFF"/>
                <w:sz w:val="18"/>
              </w:rPr>
              <w:t>Objective</w:t>
            </w:r>
          </w:p>
        </w:tc>
        <w:tc>
          <w:tcPr>
            <w:tcW w:type="dxa" w:w="1984"/>
            <w:shd w:val="clear" w:color="auto" w:fill="0D1B2A"/>
          </w:tcPr>
          <w:p>
            <w:pPr>
              <w:jc w:val="left"/>
            </w:pPr>
            <w:r/>
            <w:r>
              <w:rPr>
                <w:b/>
                <w:color w:val="FFFFFF"/>
                <w:sz w:val="18"/>
              </w:rPr>
              <w:t>Capability Area</w:t>
            </w:r>
          </w:p>
        </w:tc>
        <w:tc>
          <w:tcPr>
            <w:tcW w:type="dxa" w:w="3231"/>
            <w:shd w:val="clear" w:color="auto" w:fill="0D1B2A"/>
          </w:tcPr>
          <w:p>
            <w:pPr>
              <w:jc w:val="left"/>
            </w:pPr>
            <w:r/>
            <w:r>
              <w:rPr>
                <w:b/>
                <w:color w:val="FFFFFF"/>
                <w:sz w:val="18"/>
              </w:rPr>
              <w:t>Success Criteria</w:t>
            </w:r>
          </w:p>
        </w:tc>
      </w:tr>
      <w:tr>
        <w:tc>
          <w:tcPr>
            <w:tcW w:type="dxa" w:w="454"/>
          </w:tcPr>
          <w:p>
            <w:pPr>
              <w:jc w:val="left"/>
            </w:pPr>
            <w:r/>
            <w:r>
              <w:rPr>
                <w:b w:val="0"/>
                <w:color w:val="1A1A1A"/>
                <w:sz w:val="18"/>
              </w:rPr>
              <w:t>1</w:t>
            </w:r>
          </w:p>
        </w:tc>
        <w:tc>
          <w:tcPr>
            <w:tcW w:type="dxa" w:w="3685"/>
          </w:tcPr>
          <w:p>
            <w:pPr>
              <w:jc w:val="left"/>
            </w:pPr>
            <w:r/>
            <w:r>
              <w:rPr>
                <w:b w:val="0"/>
                <w:color w:val="1A1A1A"/>
                <w:sz w:val="18"/>
              </w:rPr>
              <w:t>Test the effectiveness of the Crisis Management Team's (CMT) initial response to the wastewater management failure.</w:t>
            </w:r>
          </w:p>
        </w:tc>
        <w:tc>
          <w:tcPr>
            <w:tcW w:type="dxa" w:w="1984"/>
          </w:tcPr>
          <w:p>
            <w:pPr>
              <w:jc w:val="left"/>
            </w:pPr>
            <w:r/>
            <w:r>
              <w:rPr>
                <w:b w:val="0"/>
                <w:color w:val="1A1A1A"/>
                <w:sz w:val="18"/>
              </w:rPr>
              <w:t>Incident Escalation</w:t>
            </w:r>
          </w:p>
        </w:tc>
        <w:tc>
          <w:tcPr>
            <w:tcW w:type="dxa" w:w="3231"/>
          </w:tcPr>
          <w:p>
            <w:pPr>
              <w:jc w:val="left"/>
            </w:pPr>
            <w:r/>
            <w:r>
              <w:rPr>
                <w:b w:val="0"/>
                <w:color w:val="1A1A1A"/>
                <w:sz w:val="18"/>
              </w:rPr>
              <w:t>CMT convenes within 30 minutes of incident notification and establishes an initial action plan.</w:t>
            </w:r>
          </w:p>
        </w:tc>
      </w:tr>
      <w:tr>
        <w:tc>
          <w:tcPr>
            <w:tcW w:type="dxa" w:w="454"/>
            <w:shd w:val="clear" w:color="auto" w:fill="F0F2F4"/>
          </w:tcPr>
          <w:p>
            <w:pPr>
              <w:jc w:val="left"/>
            </w:pPr>
            <w:r/>
            <w:r>
              <w:rPr>
                <w:b w:val="0"/>
                <w:color w:val="1A1A1A"/>
                <w:sz w:val="18"/>
              </w:rPr>
              <w:t>2</w:t>
            </w:r>
          </w:p>
        </w:tc>
        <w:tc>
          <w:tcPr>
            <w:tcW w:type="dxa" w:w="3685"/>
            <w:shd w:val="clear" w:color="auto" w:fill="F0F2F4"/>
          </w:tcPr>
          <w:p>
            <w:pPr>
              <w:jc w:val="left"/>
            </w:pPr>
            <w:r/>
            <w:r>
              <w:rPr>
                <w:b w:val="0"/>
                <w:color w:val="1A1A1A"/>
                <w:sz w:val="18"/>
              </w:rPr>
              <w:t>Validate the timeliness and accuracy of internal and external communications during the incident.</w:t>
            </w:r>
          </w:p>
        </w:tc>
        <w:tc>
          <w:tcPr>
            <w:tcW w:type="dxa" w:w="1984"/>
            <w:shd w:val="clear" w:color="auto" w:fill="F0F2F4"/>
          </w:tcPr>
          <w:p>
            <w:pPr>
              <w:jc w:val="left"/>
            </w:pPr>
            <w:r/>
            <w:r>
              <w:rPr>
                <w:b w:val="0"/>
                <w:color w:val="1A1A1A"/>
                <w:sz w:val="18"/>
              </w:rPr>
              <w:t>Crisis Communications</w:t>
            </w:r>
          </w:p>
        </w:tc>
        <w:tc>
          <w:tcPr>
            <w:tcW w:type="dxa" w:w="3231"/>
            <w:shd w:val="clear" w:color="auto" w:fill="F0F2F4"/>
          </w:tcPr>
          <w:p>
            <w:pPr>
              <w:jc w:val="left"/>
            </w:pPr>
            <w:r/>
            <w:r>
              <w:rPr>
                <w:b w:val="0"/>
                <w:color w:val="1A1A1A"/>
                <w:sz w:val="18"/>
              </w:rPr>
              <w:t>All communications are approved within 15 minutes and align with the golden rules of crisis communications.</w:t>
            </w:r>
          </w:p>
        </w:tc>
      </w:tr>
      <w:tr>
        <w:tc>
          <w:tcPr>
            <w:tcW w:type="dxa" w:w="454"/>
          </w:tcPr>
          <w:p>
            <w:pPr>
              <w:jc w:val="left"/>
            </w:pPr>
            <w:r/>
            <w:r>
              <w:rPr>
                <w:b w:val="0"/>
                <w:color w:val="1A1A1A"/>
                <w:sz w:val="18"/>
              </w:rPr>
              <w:t>3</w:t>
            </w:r>
          </w:p>
        </w:tc>
        <w:tc>
          <w:tcPr>
            <w:tcW w:type="dxa" w:w="3685"/>
          </w:tcPr>
          <w:p>
            <w:pPr>
              <w:jc w:val="left"/>
            </w:pPr>
            <w:r/>
            <w:r>
              <w:rPr>
                <w:b w:val="0"/>
                <w:color w:val="1A1A1A"/>
                <w:sz w:val="18"/>
              </w:rPr>
              <w:t>Assess the decision-making process regarding the invocation of Business Continuity Plans (BCPs).</w:t>
            </w:r>
          </w:p>
        </w:tc>
        <w:tc>
          <w:tcPr>
            <w:tcW w:type="dxa" w:w="1984"/>
          </w:tcPr>
          <w:p>
            <w:pPr>
              <w:jc w:val="left"/>
            </w:pPr>
            <w:r/>
            <w:r>
              <w:rPr>
                <w:b w:val="0"/>
                <w:color w:val="1A1A1A"/>
                <w:sz w:val="18"/>
              </w:rPr>
              <w:t>Decision-Making</w:t>
            </w:r>
          </w:p>
        </w:tc>
        <w:tc>
          <w:tcPr>
            <w:tcW w:type="dxa" w:w="3231"/>
          </w:tcPr>
          <w:p>
            <w:pPr>
              <w:jc w:val="left"/>
            </w:pPr>
            <w:r/>
            <w:r>
              <w:rPr>
                <w:b w:val="0"/>
                <w:color w:val="1A1A1A"/>
                <w:sz w:val="18"/>
              </w:rPr>
              <w:t>BCPs are invoked within the established RTO of 2 hours for critical services.</w:t>
            </w:r>
          </w:p>
        </w:tc>
      </w:tr>
      <w:tr>
        <w:tc>
          <w:tcPr>
            <w:tcW w:type="dxa" w:w="454"/>
            <w:shd w:val="clear" w:color="auto" w:fill="F0F2F4"/>
          </w:tcPr>
          <w:p>
            <w:pPr>
              <w:jc w:val="left"/>
            </w:pPr>
            <w:r/>
            <w:r>
              <w:rPr>
                <w:b w:val="0"/>
                <w:color w:val="1A1A1A"/>
                <w:sz w:val="18"/>
              </w:rPr>
              <w:t>4</w:t>
            </w:r>
          </w:p>
        </w:tc>
        <w:tc>
          <w:tcPr>
            <w:tcW w:type="dxa" w:w="3685"/>
            <w:shd w:val="clear" w:color="auto" w:fill="F0F2F4"/>
          </w:tcPr>
          <w:p>
            <w:pPr>
              <w:jc w:val="left"/>
            </w:pPr>
            <w:r/>
            <w:r>
              <w:rPr>
                <w:b w:val="0"/>
                <w:color w:val="1A1A1A"/>
                <w:sz w:val="18"/>
              </w:rPr>
              <w:t>Evaluate the ability to comply with regulatory notification requirements during the incident.</w:t>
            </w:r>
          </w:p>
        </w:tc>
        <w:tc>
          <w:tcPr>
            <w:tcW w:type="dxa" w:w="1984"/>
            <w:shd w:val="clear" w:color="auto" w:fill="F0F2F4"/>
          </w:tcPr>
          <w:p>
            <w:pPr>
              <w:jc w:val="left"/>
            </w:pPr>
            <w:r/>
            <w:r>
              <w:rPr>
                <w:b w:val="0"/>
                <w:color w:val="1A1A1A"/>
                <w:sz w:val="18"/>
              </w:rPr>
              <w:t>Regulatory And Legal</w:t>
            </w:r>
          </w:p>
        </w:tc>
        <w:tc>
          <w:tcPr>
            <w:tcW w:type="dxa" w:w="3231"/>
            <w:shd w:val="clear" w:color="auto" w:fill="F0F2F4"/>
          </w:tcPr>
          <w:p>
            <w:pPr>
              <w:jc w:val="left"/>
            </w:pPr>
            <w:r/>
            <w:r>
              <w:rPr>
                <w:b w:val="0"/>
                <w:color w:val="1A1A1A"/>
                <w:sz w:val="18"/>
              </w:rPr>
              <w:t>Regulatory bodies are notified within the required timeframes: FCA/PRA within 4 hours, ICO within 72 hours if applicable.</w:t>
            </w:r>
          </w:p>
        </w:tc>
      </w:tr>
      <w:tr>
        <w:tc>
          <w:tcPr>
            <w:tcW w:type="dxa" w:w="454"/>
          </w:tcPr>
          <w:p>
            <w:pPr>
              <w:jc w:val="left"/>
            </w:pPr>
            <w:r/>
            <w:r>
              <w:rPr>
                <w:b w:val="0"/>
                <w:color w:val="1A1A1A"/>
                <w:sz w:val="18"/>
              </w:rPr>
              <w:t>5</w:t>
            </w:r>
          </w:p>
        </w:tc>
        <w:tc>
          <w:tcPr>
            <w:tcW w:type="dxa" w:w="3685"/>
          </w:tcPr>
          <w:p>
            <w:pPr>
              <w:jc w:val="left"/>
            </w:pPr>
            <w:r/>
            <w:r>
              <w:rPr>
                <w:b w:val="0"/>
                <w:color w:val="1A1A1A"/>
                <w:sz w:val="18"/>
              </w:rPr>
              <w:t>Confirm the adequacy of recovery strategies for restoring wastewater management operations.</w:t>
            </w:r>
          </w:p>
        </w:tc>
        <w:tc>
          <w:tcPr>
            <w:tcW w:type="dxa" w:w="1984"/>
          </w:tcPr>
          <w:p>
            <w:pPr>
              <w:jc w:val="left"/>
            </w:pPr>
            <w:r/>
            <w:r>
              <w:rPr>
                <w:b w:val="0"/>
                <w:color w:val="1A1A1A"/>
                <w:sz w:val="18"/>
              </w:rPr>
              <w:t>Recovery And Lessons</w:t>
            </w:r>
          </w:p>
        </w:tc>
        <w:tc>
          <w:tcPr>
            <w:tcW w:type="dxa" w:w="3231"/>
          </w:tcPr>
          <w:p>
            <w:pPr>
              <w:jc w:val="left"/>
            </w:pPr>
            <w:r/>
            <w:r>
              <w:rPr>
                <w:b w:val="0"/>
                <w:color w:val="1A1A1A"/>
                <w:sz w:val="18"/>
              </w:rPr>
              <w:t>Recovery strategies are initiated within the MTPD and achieve the MBCO for wastewater services.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BACKGROUND</w:t>
            </w:r>
          </w:p>
        </w:tc>
      </w:tr>
    </w:tbl>
    <w:p>
      <w:pPr>
        <w:spacing w:after="40"/>
      </w:pPr>
    </w:p>
    <w:p>
      <w:pPr>
        <w:spacing w:after="80"/>
      </w:pPr>
      <w:r>
        <w:rPr>
          <w:color w:val="1A1A1A"/>
          <w:sz w:val="20"/>
        </w:rPr>
        <w:t>Barwon Water is facing a critical malfunction in its wastewater management system at the Geelong treatment plant. A sudden and severe failure in critical third-party managed equipment has led to untreated wastewater being released into the Barwon River. The incident occurs during a period of heavy rainfall, exacerbating potential overflow and environmental impact. The failure not only threatens the integrity of water quality but also poses significant challenges in maintaining service continuity to the affected regions. As the organization scrambles to manage the immediate fault, they must also deal with the potential regulatory breaches and community concerns over environmental and health implications. This scenario tests Barwon Water's resilience and ability to coordinate an effective response amidst escalating operational, regulatory, and reputational challenges.</w:t>
      </w:r>
    </w:p>
    <w:p>
      <w:pPr>
        <w:spacing w:before="200" w:after="40"/>
      </w:pPr>
      <w:r>
        <w:rPr>
          <w:b/>
          <w:color w:val="00447A"/>
          <w:sz w:val="22"/>
        </w:rPr>
        <w:t>Trigger Event</w:t>
      </w:r>
    </w:p>
    <w:p>
      <w:pPr>
        <w:spacing w:after="80"/>
      </w:pPr>
      <w:r>
        <w:rPr>
          <w:color w:val="1A1A1A"/>
          <w:sz w:val="20"/>
        </w:rPr>
        <w:t>An unexpected failure in the primary wastewater pump system, managed by a third-party contractor, leads to untreated waste entering the Barwon River during peak rainfall.</w:t>
      </w:r>
    </w:p>
    <w:p>
      <w:pPr>
        <w:spacing w:before="200" w:after="40"/>
      </w:pPr>
      <w:r>
        <w:rPr>
          <w:b/>
          <w:color w:val="00447A"/>
          <w:sz w:val="22"/>
        </w:rPr>
        <w:t>What Is Known at Exercise Start</w:t>
      </w:r>
    </w:p>
    <w:p>
      <w:pPr>
        <w:spacing w:after="80"/>
      </w:pPr>
      <w:r>
        <w:rPr>
          <w:color w:val="1A1A1A"/>
          <w:sz w:val="20"/>
        </w:rPr>
        <w:t>- The primary wastewater pump system has failed.</w:t>
      </w:r>
    </w:p>
    <w:p>
      <w:pPr>
        <w:spacing w:after="80"/>
      </w:pPr>
      <w:r>
        <w:rPr>
          <w:color w:val="1A1A1A"/>
          <w:sz w:val="20"/>
        </w:rPr>
        <w:t>- Untreated wastewater is being discharged into the Barwon River.</w:t>
      </w:r>
    </w:p>
    <w:p>
      <w:pPr>
        <w:spacing w:after="80"/>
      </w:pPr>
      <w:r>
        <w:rPr>
          <w:color w:val="1A1A1A"/>
          <w:sz w:val="20"/>
        </w:rPr>
        <w:t>- There's ongoing heavy rainfall increasing the risk of further overflow.</w:t>
      </w:r>
    </w:p>
    <w:p>
      <w:pPr>
        <w:spacing w:before="200" w:after="40"/>
      </w:pPr>
      <w:r>
        <w:rPr>
          <w:b/>
          <w:color w:val="00447A"/>
          <w:sz w:val="22"/>
        </w:rPr>
        <w:t>What Remains Unknown</w:t>
      </w:r>
    </w:p>
    <w:p>
      <w:pPr>
        <w:spacing w:after="80"/>
      </w:pPr>
      <w:r>
        <w:rPr>
          <w:color w:val="1A1A1A"/>
          <w:sz w:val="20"/>
        </w:rPr>
        <w:t>- The exact cause of the pump failure.</w:t>
      </w:r>
    </w:p>
    <w:p>
      <w:pPr>
        <w:spacing w:after="80"/>
      </w:pPr>
      <w:r>
        <w:rPr>
          <w:color w:val="1A1A1A"/>
          <w:sz w:val="20"/>
        </w:rPr>
        <w:t>- The full extent of environmental impact.</w:t>
      </w:r>
    </w:p>
    <w:p>
      <w:pPr>
        <w:spacing w:after="80"/>
      </w:pPr>
      <w:r>
        <w:rPr>
          <w:color w:val="1A1A1A"/>
          <w:sz w:val="20"/>
        </w:rPr>
        <w:t>- Whether the third-party contractor has a contingency plan in place.</w:t>
      </w:r>
    </w:p>
    <w:p>
      <w:pPr>
        <w:spacing w:after="80"/>
      </w:pPr>
      <w:r>
        <w:rPr>
          <w:color w:val="1A1A1A"/>
          <w:sz w:val="20"/>
        </w:rPr>
        <w:t>- The timeline for repair and recovery of the system.</w:t>
      </w:r>
    </w:p>
    <w:p>
      <w:pPr>
        <w:spacing w:before="200" w:after="40"/>
      </w:pPr>
      <w:r>
        <w:rPr>
          <w:b/>
          <w:color w:val="00447A"/>
          <w:sz w:val="22"/>
        </w:rPr>
        <w:t>Exercise Assumptions and Artificialities</w:t>
      </w:r>
    </w:p>
    <w:p>
      <w:pPr>
        <w:spacing w:after="80"/>
      </w:pPr>
      <w:r>
        <w:rPr>
          <w:color w:val="1A1A1A"/>
          <w:sz w:val="20"/>
        </w:rPr>
        <w:t>- All communications systems are operational.</w:t>
      </w:r>
    </w:p>
    <w:p>
      <w:pPr>
        <w:spacing w:after="80"/>
      </w:pPr>
      <w:r>
        <w:rPr>
          <w:color w:val="1A1A1A"/>
          <w:sz w:val="20"/>
        </w:rPr>
        <w:t>- The crisis management team is immediately available.</w:t>
      </w:r>
    </w:p>
    <w:p>
      <w:pPr>
        <w:spacing w:after="80"/>
      </w:pPr>
      <w:r>
        <w:rPr>
          <w:color w:val="1A1A1A"/>
          <w:sz w:val="20"/>
        </w:rPr>
        <w:t>- Local authorities are aware of the incident but have not yet intervened.</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Assumptions represent simplifications made to enable the exercise to run effectively. They do not reflect operational weaknesses.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EXERCISE TIMELINE</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680"/>
            <w:shd w:val="clear" w:color="auto" w:fill="0D1B2A"/>
          </w:tcPr>
          <w:p>
            <w:pPr>
              <w:jc w:val="left"/>
            </w:pPr>
            <w:r/>
            <w:r>
              <w:rPr>
                <w:b/>
                <w:color w:val="FFFFFF"/>
                <w:sz w:val="18"/>
              </w:rPr>
              <w:t>Phase</w:t>
            </w:r>
          </w:p>
        </w:tc>
        <w:tc>
          <w:tcPr>
            <w:tcW w:type="dxa" w:w="2154"/>
            <w:shd w:val="clear" w:color="auto" w:fill="0D1B2A"/>
          </w:tcPr>
          <w:p>
            <w:pPr>
              <w:jc w:val="left"/>
            </w:pPr>
            <w:r/>
            <w:r>
              <w:rPr>
                <w:b/>
                <w:color w:val="FFFFFF"/>
                <w:sz w:val="18"/>
              </w:rPr>
              <w:t>Name</w:t>
            </w:r>
          </w:p>
        </w:tc>
        <w:tc>
          <w:tcPr>
            <w:tcW w:type="dxa" w:w="1417"/>
            <w:shd w:val="clear" w:color="auto" w:fill="0D1B2A"/>
          </w:tcPr>
          <w:p>
            <w:pPr>
              <w:jc w:val="left"/>
            </w:pPr>
            <w:r/>
            <w:r>
              <w:rPr>
                <w:b/>
                <w:color w:val="FFFFFF"/>
                <w:sz w:val="18"/>
              </w:rPr>
              <w:t>Start</w:t>
            </w:r>
          </w:p>
        </w:tc>
        <w:tc>
          <w:tcPr>
            <w:tcW w:type="dxa" w:w="1417"/>
            <w:shd w:val="clear" w:color="auto" w:fill="0D1B2A"/>
          </w:tcPr>
          <w:p>
            <w:pPr>
              <w:jc w:val="left"/>
            </w:pPr>
            <w:r/>
            <w:r>
              <w:rPr>
                <w:b/>
                <w:color w:val="FFFFFF"/>
                <w:sz w:val="18"/>
              </w:rPr>
              <w:t>End</w:t>
            </w:r>
          </w:p>
        </w:tc>
        <w:tc>
          <w:tcPr>
            <w:tcW w:type="dxa" w:w="3685"/>
            <w:shd w:val="clear" w:color="auto" w:fill="0D1B2A"/>
          </w:tcPr>
          <w:p>
            <w:pPr>
              <w:jc w:val="left"/>
            </w:pPr>
            <w:r/>
            <w:r>
              <w:rPr>
                <w:b/>
                <w:color w:val="FFFFFF"/>
                <w:sz w:val="18"/>
              </w:rPr>
              <w:t>Focus</w:t>
            </w:r>
          </w:p>
        </w:tc>
      </w:tr>
      <w:tr>
        <w:tc>
          <w:tcPr>
            <w:tcW w:type="dxa" w:w="680"/>
          </w:tcPr>
          <w:p>
            <w:pPr>
              <w:jc w:val="left"/>
            </w:pPr>
            <w:r/>
            <w:r>
              <w:rPr>
                <w:b w:val="0"/>
                <w:color w:val="1A1A1A"/>
                <w:sz w:val="18"/>
              </w:rPr>
              <w:t>1</w:t>
            </w:r>
          </w:p>
        </w:tc>
        <w:tc>
          <w:tcPr>
            <w:tcW w:type="dxa" w:w="2154"/>
          </w:tcPr>
          <w:p>
            <w:pPr>
              <w:jc w:val="left"/>
            </w:pPr>
            <w:r/>
            <w:r>
              <w:rPr>
                <w:b w:val="0"/>
                <w:color w:val="1A1A1A"/>
                <w:sz w:val="18"/>
              </w:rPr>
              <w:t>Initial Failure Detection</w:t>
            </w:r>
          </w:p>
        </w:tc>
        <w:tc>
          <w:tcPr>
            <w:tcW w:type="dxa" w:w="1417"/>
          </w:tcPr>
          <w:p>
            <w:pPr>
              <w:jc w:val="left"/>
            </w:pPr>
            <w:r/>
            <w:r>
              <w:rPr>
                <w:b w:val="0"/>
                <w:color w:val="1A1A1A"/>
                <w:sz w:val="18"/>
              </w:rPr>
              <w:t>T+0 min</w:t>
            </w:r>
          </w:p>
        </w:tc>
        <w:tc>
          <w:tcPr>
            <w:tcW w:type="dxa" w:w="1417"/>
          </w:tcPr>
          <w:p>
            <w:pPr>
              <w:jc w:val="left"/>
            </w:pPr>
            <w:r/>
            <w:r>
              <w:rPr>
                <w:b w:val="0"/>
                <w:color w:val="1A1A1A"/>
                <w:sz w:val="18"/>
              </w:rPr>
              <w:t>T+20 min</w:t>
            </w:r>
          </w:p>
        </w:tc>
        <w:tc>
          <w:tcPr>
            <w:tcW w:type="dxa" w:w="3685"/>
          </w:tcPr>
          <w:p>
            <w:pPr>
              <w:jc w:val="left"/>
            </w:pPr>
            <w:r/>
            <w:r>
              <w:rPr>
                <w:b w:val="0"/>
                <w:color w:val="1A1A1A"/>
                <w:sz w:val="18"/>
              </w:rPr>
              <w:t>Testing the initial response and notification procedures.</w:t>
            </w:r>
          </w:p>
        </w:tc>
      </w:tr>
      <w:tr>
        <w:tc>
          <w:tcPr>
            <w:tcW w:type="dxa" w:w="680"/>
            <w:shd w:val="clear" w:color="auto" w:fill="F0F2F4"/>
          </w:tcPr>
          <w:p>
            <w:pPr>
              <w:jc w:val="left"/>
            </w:pPr>
            <w:r/>
            <w:r>
              <w:rPr>
                <w:b w:val="0"/>
                <w:color w:val="1A1A1A"/>
                <w:sz w:val="18"/>
              </w:rPr>
              <w:t>2</w:t>
            </w:r>
          </w:p>
        </w:tc>
        <w:tc>
          <w:tcPr>
            <w:tcW w:type="dxa" w:w="2154"/>
            <w:shd w:val="clear" w:color="auto" w:fill="F0F2F4"/>
          </w:tcPr>
          <w:p>
            <w:pPr>
              <w:jc w:val="left"/>
            </w:pPr>
            <w:r/>
            <w:r>
              <w:rPr>
                <w:b w:val="0"/>
                <w:color w:val="1A1A1A"/>
                <w:sz w:val="18"/>
              </w:rPr>
              <w:t>Escalation and Impact Assessment</w:t>
            </w:r>
          </w:p>
        </w:tc>
        <w:tc>
          <w:tcPr>
            <w:tcW w:type="dxa" w:w="1417"/>
            <w:shd w:val="clear" w:color="auto" w:fill="F0F2F4"/>
          </w:tcPr>
          <w:p>
            <w:pPr>
              <w:jc w:val="left"/>
            </w:pPr>
            <w:r/>
            <w:r>
              <w:rPr>
                <w:b w:val="0"/>
                <w:color w:val="1A1A1A"/>
                <w:sz w:val="18"/>
              </w:rPr>
              <w:t>T+20 min</w:t>
            </w:r>
          </w:p>
        </w:tc>
        <w:tc>
          <w:tcPr>
            <w:tcW w:type="dxa" w:w="1417"/>
            <w:shd w:val="clear" w:color="auto" w:fill="F0F2F4"/>
          </w:tcPr>
          <w:p>
            <w:pPr>
              <w:jc w:val="left"/>
            </w:pPr>
            <w:r/>
            <w:r>
              <w:rPr>
                <w:b w:val="0"/>
                <w:color w:val="1A1A1A"/>
                <w:sz w:val="18"/>
              </w:rPr>
              <w:t>T+50 min</w:t>
            </w:r>
          </w:p>
        </w:tc>
        <w:tc>
          <w:tcPr>
            <w:tcW w:type="dxa" w:w="3685"/>
            <w:shd w:val="clear" w:color="auto" w:fill="F0F2F4"/>
          </w:tcPr>
          <w:p>
            <w:pPr>
              <w:jc w:val="left"/>
            </w:pPr>
            <w:r/>
            <w:r>
              <w:rPr>
                <w:b w:val="0"/>
                <w:color w:val="1A1A1A"/>
                <w:sz w:val="18"/>
              </w:rPr>
              <w:t>Evaluating escalation protocols and initial assessment of impacts on operations and stakeholders.</w:t>
            </w:r>
          </w:p>
        </w:tc>
      </w:tr>
      <w:tr>
        <w:tc>
          <w:tcPr>
            <w:tcW w:type="dxa" w:w="680"/>
          </w:tcPr>
          <w:p>
            <w:pPr>
              <w:jc w:val="left"/>
            </w:pPr>
            <w:r/>
            <w:r>
              <w:rPr>
                <w:b w:val="0"/>
                <w:color w:val="1A1A1A"/>
                <w:sz w:val="18"/>
              </w:rPr>
              <w:t>3</w:t>
            </w:r>
          </w:p>
        </w:tc>
        <w:tc>
          <w:tcPr>
            <w:tcW w:type="dxa" w:w="2154"/>
          </w:tcPr>
          <w:p>
            <w:pPr>
              <w:jc w:val="left"/>
            </w:pPr>
            <w:r/>
            <w:r>
              <w:rPr>
                <w:b w:val="0"/>
                <w:color w:val="1A1A1A"/>
                <w:sz w:val="18"/>
              </w:rPr>
              <w:t>Crisis Communication</w:t>
            </w:r>
          </w:p>
        </w:tc>
        <w:tc>
          <w:tcPr>
            <w:tcW w:type="dxa" w:w="1417"/>
          </w:tcPr>
          <w:p>
            <w:pPr>
              <w:jc w:val="left"/>
            </w:pPr>
            <w:r/>
            <w:r>
              <w:rPr>
                <w:b w:val="0"/>
                <w:color w:val="1A1A1A"/>
                <w:sz w:val="18"/>
              </w:rPr>
              <w:t>T+50 min</w:t>
            </w:r>
          </w:p>
        </w:tc>
        <w:tc>
          <w:tcPr>
            <w:tcW w:type="dxa" w:w="1417"/>
          </w:tcPr>
          <w:p>
            <w:pPr>
              <w:jc w:val="left"/>
            </w:pPr>
            <w:r/>
            <w:r>
              <w:rPr>
                <w:b w:val="0"/>
                <w:color w:val="1A1A1A"/>
                <w:sz w:val="18"/>
              </w:rPr>
              <w:t>T+80 min</w:t>
            </w:r>
          </w:p>
        </w:tc>
        <w:tc>
          <w:tcPr>
            <w:tcW w:type="dxa" w:w="3685"/>
          </w:tcPr>
          <w:p>
            <w:pPr>
              <w:jc w:val="left"/>
            </w:pPr>
            <w:r/>
            <w:r>
              <w:rPr>
                <w:b w:val="0"/>
                <w:color w:val="1A1A1A"/>
                <w:sz w:val="18"/>
              </w:rPr>
              <w:t>Assessing internal and external communication strategies, including media handling and stakeholder updates.</w:t>
            </w:r>
          </w:p>
        </w:tc>
      </w:tr>
      <w:tr>
        <w:tc>
          <w:tcPr>
            <w:tcW w:type="dxa" w:w="680"/>
            <w:shd w:val="clear" w:color="auto" w:fill="F0F2F4"/>
          </w:tcPr>
          <w:p>
            <w:pPr>
              <w:jc w:val="left"/>
            </w:pPr>
            <w:r/>
            <w:r>
              <w:rPr>
                <w:b w:val="0"/>
                <w:color w:val="1A1A1A"/>
                <w:sz w:val="18"/>
              </w:rPr>
              <w:t>4</w:t>
            </w:r>
          </w:p>
        </w:tc>
        <w:tc>
          <w:tcPr>
            <w:tcW w:type="dxa" w:w="2154"/>
            <w:shd w:val="clear" w:color="auto" w:fill="F0F2F4"/>
          </w:tcPr>
          <w:p>
            <w:pPr>
              <w:jc w:val="left"/>
            </w:pPr>
            <w:r/>
            <w:r>
              <w:rPr>
                <w:b w:val="0"/>
                <w:color w:val="1A1A1A"/>
                <w:sz w:val="18"/>
              </w:rPr>
              <w:t>Recovery and Restoration</w:t>
            </w:r>
          </w:p>
        </w:tc>
        <w:tc>
          <w:tcPr>
            <w:tcW w:type="dxa" w:w="1417"/>
            <w:shd w:val="clear" w:color="auto" w:fill="F0F2F4"/>
          </w:tcPr>
          <w:p>
            <w:pPr>
              <w:jc w:val="left"/>
            </w:pPr>
            <w:r/>
            <w:r>
              <w:rPr>
                <w:b w:val="0"/>
                <w:color w:val="1A1A1A"/>
                <w:sz w:val="18"/>
              </w:rPr>
              <w:t>T+80 min</w:t>
            </w:r>
          </w:p>
        </w:tc>
        <w:tc>
          <w:tcPr>
            <w:tcW w:type="dxa" w:w="1417"/>
            <w:shd w:val="clear" w:color="auto" w:fill="F0F2F4"/>
          </w:tcPr>
          <w:p>
            <w:pPr>
              <w:jc w:val="left"/>
            </w:pPr>
            <w:r/>
            <w:r>
              <w:rPr>
                <w:b w:val="0"/>
                <w:color w:val="1A1A1A"/>
                <w:sz w:val="18"/>
              </w:rPr>
              <w:t>T+100 min</w:t>
            </w:r>
          </w:p>
        </w:tc>
        <w:tc>
          <w:tcPr>
            <w:tcW w:type="dxa" w:w="3685"/>
            <w:shd w:val="clear" w:color="auto" w:fill="F0F2F4"/>
          </w:tcPr>
          <w:p>
            <w:pPr>
              <w:jc w:val="left"/>
            </w:pPr>
            <w:r/>
            <w:r>
              <w:rPr>
                <w:b w:val="0"/>
                <w:color w:val="1A1A1A"/>
                <w:sz w:val="18"/>
              </w:rPr>
              <w:t>Testing continuity plans and restoration of normal operations.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GROUND RULES</w:t>
            </w:r>
          </w:p>
        </w:tc>
      </w:tr>
    </w:tbl>
    <w:p>
      <w:pPr>
        <w:spacing w:after="40"/>
      </w:pPr>
    </w:p>
    <w:p>
      <w:pPr>
        <w:pStyle w:val="ListBullet"/>
      </w:pPr>
      <w:r>
        <w:rPr>
          <w:color w:val="1A1A1A"/>
          <w:sz w:val="20"/>
        </w:rPr>
        <w:t>This is a no-fault learning exercise. Participation is in good faith; there are no wrong answers.</w:t>
      </w:r>
    </w:p>
    <w:p>
      <w:pPr>
        <w:pStyle w:val="ListBullet"/>
      </w:pPr>
      <w:r>
        <w:rPr>
          <w:color w:val="1A1A1A"/>
          <w:sz w:val="20"/>
        </w:rPr>
        <w:t>Treat the scenario as real and apply your actual plans, policies, and procedures throughout.</w:t>
      </w:r>
    </w:p>
    <w:p>
      <w:pPr>
        <w:pStyle w:val="ListBullet"/>
      </w:pPr>
      <w:r>
        <w:rPr>
          <w:color w:val="1A1A1A"/>
          <w:sz w:val="20"/>
        </w:rPr>
        <w:t>You may only act on information provided by the facilitator — do not use knowledge from outside the scenario.</w:t>
      </w:r>
    </w:p>
    <w:p>
      <w:pPr>
        <w:pStyle w:val="ListBullet"/>
      </w:pPr>
      <w:r>
        <w:rPr>
          <w:color w:val="1A1A1A"/>
          <w:sz w:val="20"/>
        </w:rPr>
        <w:t>Decisions made during the exercise do not constitute actual organisational decisions.</w:t>
      </w:r>
    </w:p>
    <w:p>
      <w:pPr>
        <w:pStyle w:val="ListBullet"/>
      </w:pPr>
      <w:r>
        <w:rPr>
          <w:color w:val="1A1A1A"/>
          <w:sz w:val="20"/>
        </w:rPr>
        <w:t>If the facilitator calls 'Exercise Suspend — No Duff', all exercise activity stops immediately and real emergency procedures take over.</w:t>
      </w:r>
    </w:p>
    <w:p>
      <w:pPr>
        <w:pStyle w:val="ListBullet"/>
      </w:pPr>
      <w:r>
        <w:rPr>
          <w:color w:val="1A1A1A"/>
          <w:sz w:val="20"/>
        </w:rPr>
        <w:t>Mobile phones and laptops should be silenced and closed unless they are part of the exercise.</w:t>
      </w:r>
    </w:p>
    <w:p>
      <w:pPr>
        <w:pStyle w:val="ListBullet"/>
      </w:pPr>
      <w:r>
        <w:rPr>
          <w:color w:val="1A1A1A"/>
          <w:sz w:val="20"/>
        </w:rPr>
        <w:t>All information shared during the exercise is confidential and must not be distributed outside approved channels.</w:t>
      </w:r>
    </w:p>
    <w:p>
      <w:pPr>
        <w:pStyle w:val="ListBullet"/>
      </w:pPr>
      <w:r>
        <w:rPr>
          <w:color w:val="1A1A1A"/>
          <w:sz w:val="20"/>
        </w:rPr>
        <w:t>The facilitator may pause the exercise at any time for group discussion or to explore a learning point.</w:t>
      </w:r>
    </w:p>
    <w:p>
      <w:pPr>
        <w:pStyle w:val="ListBullet"/>
      </w:pPr>
      <w:r>
        <w:rPr>
          <w:color w:val="1A1A1A"/>
          <w:sz w:val="20"/>
        </w:rPr>
        <w:t>If you are unsure what your plan requires — say so. That uncertainty is itself a valuable finding.</w:t>
      </w:r>
    </w:p>
    <w:p>
      <w:pPr>
        <w:pStyle w:val="ListBullet"/>
      </w:pPr>
      <w:r>
        <w:rPr>
          <w:color w:val="1A1A1A"/>
          <w:sz w:val="20"/>
        </w:rPr>
        <w:t>A no-blame, constructive environment is essential. Focus on processes and systems, not individuals.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RELATIONSHIP TO OTHER PLANS AND DOCUMENTS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4535"/>
            <w:shd w:val="clear" w:color="auto" w:fill="0D1B2A"/>
          </w:tcPr>
          <w:p>
            <w:pPr>
              <w:jc w:val="left"/>
            </w:pPr>
            <w:r/>
            <w:r>
              <w:rPr>
                <w:b/>
                <w:color w:val="FFFFFF"/>
                <w:sz w:val="18"/>
              </w:rPr>
              <w:t>Document / Plan</w:t>
            </w:r>
          </w:p>
        </w:tc>
        <w:tc>
          <w:tcPr>
            <w:tcW w:type="dxa" w:w="4819"/>
            <w:shd w:val="clear" w:color="auto" w:fill="0D1B2A"/>
          </w:tcPr>
          <w:p>
            <w:pPr>
              <w:jc w:val="left"/>
            </w:pPr>
            <w:r/>
            <w:r>
              <w:rPr>
                <w:b/>
                <w:color w:val="FFFFFF"/>
                <w:sz w:val="18"/>
              </w:rPr>
              <w:t>Relationship to this Exercise</w:t>
            </w:r>
          </w:p>
        </w:tc>
      </w:tr>
      <w:tr>
        <w:tc>
          <w:tcPr>
            <w:tcW w:type="dxa" w:w="4535"/>
          </w:tcPr>
          <w:p>
            <w:pPr>
              <w:jc w:val="left"/>
            </w:pPr>
            <w:r/>
            <w:r>
              <w:rPr>
                <w:b w:val="0"/>
                <w:color w:val="1A1A1A"/>
                <w:sz w:val="18"/>
              </w:rPr>
              <w:t>ISO 22301:2019 Business Continuity Management Systems</w:t>
            </w:r>
          </w:p>
        </w:tc>
        <w:tc>
          <w:tcPr>
            <w:tcW w:type="dxa" w:w="4819"/>
          </w:tcPr>
          <w:p>
            <w:pPr>
              <w:jc w:val="left"/>
            </w:pPr>
            <w:r/>
            <w:r>
              <w:rPr>
                <w:b w:val="0"/>
                <w:color w:val="1A1A1A"/>
                <w:sz w:val="18"/>
              </w:rPr>
              <w:t>Governing standard — exercise aligned to Clause 8.5</w:t>
            </w:r>
          </w:p>
        </w:tc>
      </w:tr>
      <w:tr>
        <w:tc>
          <w:tcPr>
            <w:tcW w:type="dxa" w:w="4535"/>
            <w:shd w:val="clear" w:color="auto" w:fill="F0F2F4"/>
          </w:tcPr>
          <w:p>
            <w:pPr>
              <w:jc w:val="left"/>
            </w:pPr>
            <w:r/>
            <w:r>
              <w:rPr>
                <w:b w:val="0"/>
                <w:color w:val="1A1A1A"/>
                <w:sz w:val="18"/>
              </w:rPr>
              <w:t>BCI GPG 2018 PP6 — Validation</w:t>
            </w:r>
          </w:p>
        </w:tc>
        <w:tc>
          <w:tcPr>
            <w:tcW w:type="dxa" w:w="4819"/>
            <w:shd w:val="clear" w:color="auto" w:fill="F0F2F4"/>
          </w:tcPr>
          <w:p>
            <w:pPr>
              <w:jc w:val="left"/>
            </w:pPr>
            <w:r/>
            <w:r>
              <w:rPr>
                <w:b w:val="0"/>
                <w:color w:val="1A1A1A"/>
                <w:sz w:val="18"/>
              </w:rPr>
              <w:t>Exercise design and structure standard</w:t>
            </w:r>
          </w:p>
        </w:tc>
      </w:tr>
      <w:tr>
        <w:tc>
          <w:tcPr>
            <w:tcW w:type="dxa" w:w="4535"/>
          </w:tcPr>
          <w:p>
            <w:pPr>
              <w:jc w:val="left"/>
            </w:pPr>
            <w:r/>
            <w:r>
              <w:rPr>
                <w:b w:val="0"/>
                <w:color w:val="1A1A1A"/>
                <w:sz w:val="18"/>
              </w:rPr>
              <w:t>BCM Programme Policy</w:t>
            </w:r>
          </w:p>
        </w:tc>
        <w:tc>
          <w:tcPr>
            <w:tcW w:type="dxa" w:w="4819"/>
          </w:tcPr>
          <w:p>
            <w:pPr>
              <w:jc w:val="left"/>
            </w:pPr>
            <w:r/>
            <w:r>
              <w:rPr>
                <w:b w:val="0"/>
                <w:color w:val="1A1A1A"/>
                <w:sz w:val="18"/>
              </w:rPr>
              <w:t>Parent policy — authorises and governs the exercise programme</w:t>
            </w:r>
          </w:p>
        </w:tc>
      </w:tr>
    </w:tbl>
    <w:p>
      <w:pPr>
        <w:spacing w:after="80"/>
      </w:pPr>
    </w:p>
    <w:p>
      <w:pPr>
        <w:spacing w:before="240" w:after="80"/>
        <w:pBdr>
          <w:bottom w:val="single" w:sz="6" w:space="1" w:color="0D1B2A"/>
        </w:pBdr>
      </w:pPr>
    </w:p>
    <w:p>
      <w:pPr>
        <w:jc w:val="center"/>
      </w:pPr>
      <w:r>
        <w:rPr>
          <w:color w:val="6C757D"/>
          <w:sz w:val="16"/>
        </w:rPr>
        <w:t>DISTRIBUTION: Participants only  ·  Internal Use Only  ·  BC Studio  ·  13 June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Wastewater Management Failure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