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PARTICIPANT BRIEF</w:t>
            </w:r>
          </w:p>
        </w:tc>
      </w:tr>
    </w:tbl>
    <w:p/>
    <w:p>
      <w:pPr>
        <w:spacing w:before="160" w:after="80"/>
      </w:pPr>
      <w:r>
        <w:rPr>
          <w:b/>
          <w:color w:val="0D1B2A"/>
          <w:sz w:val="52"/>
        </w:rPr>
        <w:t>Burst Water Main</w:t>
      </w:r>
    </w:p>
    <w:p>
      <w:pPr>
        <w:spacing w:after="80"/>
      </w:pPr>
      <w:r>
        <w:rPr>
          <w:color w:val="6C757D"/>
          <w:sz w:val="28"/>
        </w:rPr>
        <w:t>Critical service disruption, sink hole, extensive flooding to residential houses</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Internal Use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BCM Programme</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30 September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SCOPE</w:t>
            </w:r>
          </w:p>
        </w:tc>
      </w:tr>
    </w:tbl>
    <w:p>
      <w:pPr>
        <w:spacing w:after="40"/>
      </w:pPr>
    </w:p>
    <w:p>
      <w:pPr>
        <w:spacing w:after="80"/>
      </w:pPr>
      <w:r>
        <w:rPr>
          <w:color w:val="1A1A1A"/>
          <w:sz w:val="20"/>
        </w:rPr>
        <w:t>The aim of this exercise is: To evaluate Barwon Water's response and recovery capabilities in managing a burst water main incident, ensuring continuity of critical services and compliance with regulatory obligations.</w:t>
      </w:r>
    </w:p>
    <w:p>
      <w:pPr>
        <w:spacing w:after="80"/>
      </w:pPr>
      <w:r>
        <w:rPr>
          <w:color w:val="1A1A1A"/>
          <w:sz w:val="20"/>
        </w:rPr>
        <w:t>This Participant Brief provides the background information, scenario context, exercise objectives, ground rules, and timeline required for effective participation. Please read this document in full before the exercise commences.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DETAILS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Burst Water Main</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Sector / Context</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Tabletop</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120 minutes</w:t>
            </w:r>
          </w:p>
        </w:tc>
      </w:tr>
      <w:tr>
        <w:tc>
          <w:tcPr>
            <w:tcW w:type="dxa" w:w="2835"/>
            <w:shd w:val="clear" w:color="auto" w:fill="D6E4F7"/>
          </w:tcPr>
          <w:p>
            <w:pPr>
              <w:jc w:val="left"/>
            </w:pPr>
            <w:r/>
            <w:r>
              <w:rPr>
                <w:b/>
                <w:color w:val="0D1B2A"/>
                <w:sz w:val="20"/>
              </w:rPr>
              <w:t>Scenario Name</w:t>
            </w:r>
          </w:p>
        </w:tc>
        <w:tc>
          <w:tcPr>
            <w:tcW w:type="dxa" w:w="6236"/>
          </w:tcPr>
          <w:p>
            <w:pPr>
              <w:jc w:val="left"/>
            </w:pPr>
            <w:r/>
            <w:r>
              <w:rPr>
                <w:b w:val="0"/>
                <w:color w:val="1A1A1A"/>
                <w:sz w:val="20"/>
              </w:rPr>
              <w:t>Critical service disruption, sink hole, extensive flooding to residential houses</w:t>
            </w:r>
          </w:p>
        </w:tc>
      </w:tr>
      <w:tr>
        <w:tc>
          <w:tcPr>
            <w:tcW w:type="dxa" w:w="2835"/>
            <w:shd w:val="clear" w:color="auto" w:fill="D6E4F7"/>
          </w:tcPr>
          <w:p>
            <w:pPr>
              <w:jc w:val="left"/>
            </w:pPr>
            <w:r/>
            <w:r>
              <w:rPr>
                <w:b/>
                <w:color w:val="0D1B2A"/>
                <w:sz w:val="20"/>
              </w:rPr>
              <w:t>Scheduled Date</w:t>
            </w:r>
          </w:p>
        </w:tc>
        <w:tc>
          <w:tcPr>
            <w:tcW w:type="dxa" w:w="6236"/>
            <w:shd w:val="clear" w:color="auto" w:fill="F0F2F4"/>
          </w:tcPr>
          <w:p>
            <w:pPr>
              <w:jc w:val="left"/>
            </w:pPr>
            <w:r/>
            <w:r>
              <w:rPr>
                <w:b w:val="0"/>
                <w:color w:val="1A1A1A"/>
                <w:sz w:val="20"/>
              </w:rPr>
              <w:t>2026-06-11</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No-Fault Principle</w:t>
            </w:r>
          </w:p>
        </w:tc>
        <w:tc>
          <w:tcPr>
            <w:tcW w:type="dxa" w:w="6236"/>
            <w:shd w:val="clear" w:color="auto" w:fill="F0F2F4"/>
          </w:tcPr>
          <w:p>
            <w:pPr>
              <w:jc w:val="left"/>
            </w:pPr>
            <w:r/>
            <w:r>
              <w:rPr>
                <w:b w:val="0"/>
                <w:color w:val="1A1A1A"/>
                <w:sz w:val="20"/>
              </w:rPr>
              <w:t>Yes — this is a learning exercise. There are no wrong answers.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AUTHORITY</w:t>
            </w:r>
          </w:p>
        </w:tc>
      </w:tr>
    </w:tbl>
    <w:p>
      <w:pPr>
        <w:spacing w:after="40"/>
      </w:pPr>
    </w:p>
    <w:p>
      <w:pPr>
        <w:spacing w:after="80"/>
      </w:pPr>
      <w:r>
        <w:rPr>
          <w:color w:val="1A1A1A"/>
          <w:sz w:val="20"/>
        </w:rPr>
        <w:t>This exercise is conducted under the organisation's Business Continuity Management (BCM) programme and is consistent with the requirements of ISO 22301:2019, the BCI Good Practice Guidelines (GPG 2018 PP6), and applicable regulatory obligations. The exercise has been approved by the BCM programme sponsor and forms part of the annual validation programme.</w:t>
      </w:r>
    </w:p>
    <w:p>
      <w:pPr>
        <w:spacing w:after="80"/>
      </w:pPr>
      <w:r>
        <w:rPr>
          <w:color w:val="1A1A1A"/>
          <w:sz w:val="20"/>
        </w:rPr>
        <w:t>Risk / threat alignment: The operational response including recovery</w:t>
      </w:r>
    </w:p>
    <w:p>
      <w:pPr>
        <w:spacing w:before="200" w:after="40"/>
      </w:pPr>
      <w:r>
        <w:rPr>
          <w:b/>
          <w:color w:val="00447A"/>
          <w:sz w:val="22"/>
        </w:rPr>
        <w:t>Plans Being Tested</w:t>
      </w:r>
    </w:p>
    <w:p>
      <w:pPr>
        <w:pStyle w:val="ListBullet"/>
      </w:pPr>
      <w:r>
        <w:rPr>
          <w:color w:val="1A1A1A"/>
          <w:sz w:val="20"/>
        </w:rPr>
        <w:t>Business Continuity Plan</w:t>
      </w:r>
    </w:p>
    <w:p>
      <w:pPr>
        <w:pStyle w:val="ListBullet"/>
      </w:pPr>
      <w:r>
        <w:rPr>
          <w:color w:val="1A1A1A"/>
          <w:sz w:val="20"/>
        </w:rPr>
        <w:t>Crisis Management Plan</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p>
      <w:pPr>
        <w:spacing w:after="80"/>
      </w:pPr>
      <w:r>
        <w:rPr>
          <w:color w:val="1A1A1A"/>
          <w:sz w:val="20"/>
        </w:rPr>
        <w:t>The following roles apply during this exercise. All participants are expected to act within their designated role throughout the scenario.</w:t>
      </w:r>
    </w:p>
    <w:tbl>
      <w:tblPr>
        <w:tblStyle w:val="TableGrid"/>
        <w:tblW w:type="auto" w:w="0"/>
        <w:tblLook w:firstColumn="1" w:firstRow="1" w:lastColumn="0" w:lastRow="0" w:noHBand="0" w:noVBand="1" w:val="04A0"/>
      </w:tblPr>
      <w:tblGrid>
        <w:gridCol w:w="3135"/>
        <w:gridCol w:w="3135"/>
        <w:gridCol w:w="3135"/>
      </w:tblGrid>
      <w:tr>
        <w:tc>
          <w:tcPr>
            <w:tcW w:type="dxa" w:w="2551"/>
            <w:shd w:val="clear" w:color="auto" w:fill="0D1B2A"/>
          </w:tcPr>
          <w:p>
            <w:pPr>
              <w:jc w:val="left"/>
            </w:pPr>
            <w:r/>
            <w:r>
              <w:rPr>
                <w:b/>
                <w:color w:val="FFFFFF"/>
                <w:sz w:val="18"/>
              </w:rPr>
              <w:t>Role</w:t>
            </w:r>
          </w:p>
        </w:tc>
        <w:tc>
          <w:tcPr>
            <w:tcW w:type="dxa" w:w="5386"/>
            <w:shd w:val="clear" w:color="auto" w:fill="0D1B2A"/>
          </w:tcPr>
          <w:p>
            <w:pPr>
              <w:jc w:val="left"/>
            </w:pPr>
            <w:r/>
            <w:r>
              <w:rPr>
                <w:b/>
                <w:color w:val="FFFFFF"/>
                <w:sz w:val="18"/>
              </w:rPr>
              <w:t>Responsibility</w:t>
            </w:r>
          </w:p>
        </w:tc>
        <w:tc>
          <w:tcPr>
            <w:tcW w:type="dxa" w:w="1417"/>
            <w:shd w:val="clear" w:color="auto" w:fill="0D1B2A"/>
          </w:tcPr>
          <w:p>
            <w:pPr>
              <w:jc w:val="left"/>
            </w:pPr>
            <w:r/>
            <w:r>
              <w:rPr>
                <w:b/>
                <w:color w:val="FFFFFF"/>
                <w:sz w:val="18"/>
              </w:rPr>
              <w:t>Type</w:t>
            </w:r>
          </w:p>
        </w:tc>
      </w:tr>
      <w:tr>
        <w:tc>
          <w:tcPr>
            <w:tcW w:type="dxa" w:w="2551"/>
          </w:tcPr>
          <w:p>
            <w:pPr>
              <w:jc w:val="left"/>
            </w:pPr>
            <w:r/>
            <w:r>
              <w:rPr>
                <w:b w:val="0"/>
                <w:color w:val="1A1A1A"/>
                <w:sz w:val="18"/>
              </w:rPr>
              <w:t>Exercise Facilitator</w:t>
            </w:r>
          </w:p>
        </w:tc>
        <w:tc>
          <w:tcPr>
            <w:tcW w:type="dxa" w:w="5386"/>
          </w:tcPr>
          <w:p>
            <w:pPr>
              <w:jc w:val="left"/>
            </w:pPr>
            <w:r/>
            <w:r>
              <w:rPr>
                <w:b w:val="0"/>
                <w:color w:val="1A1A1A"/>
                <w:sz w:val="18"/>
              </w:rPr>
              <w:t>Leads the exercise; delivers injects; manages timing; ensures learning outcomes</w:t>
            </w:r>
          </w:p>
        </w:tc>
        <w:tc>
          <w:tcPr>
            <w:tcW w:type="dxa" w:w="1417"/>
          </w:tcPr>
          <w:p>
            <w:pPr>
              <w:jc w:val="left"/>
            </w:pPr>
            <w:r/>
            <w:r>
              <w:rPr>
                <w:b w:val="0"/>
                <w:color w:val="1A1A1A"/>
                <w:sz w:val="18"/>
              </w:rPr>
              <w:t>Facilitator</w:t>
            </w:r>
          </w:p>
        </w:tc>
      </w:tr>
      <w:tr>
        <w:tc>
          <w:tcPr>
            <w:tcW w:type="dxa" w:w="2551"/>
            <w:shd w:val="clear" w:color="auto" w:fill="F0F2F4"/>
          </w:tcPr>
          <w:p>
            <w:pPr>
              <w:jc w:val="left"/>
            </w:pPr>
            <w:r/>
            <w:r>
              <w:rPr>
                <w:b w:val="0"/>
                <w:color w:val="1A1A1A"/>
                <w:sz w:val="18"/>
              </w:rPr>
              <w:t>Exercise Observer</w:t>
            </w:r>
          </w:p>
        </w:tc>
        <w:tc>
          <w:tcPr>
            <w:tcW w:type="dxa" w:w="5386"/>
            <w:shd w:val="clear" w:color="auto" w:fill="F0F2F4"/>
          </w:tcPr>
          <w:p>
            <w:pPr>
              <w:jc w:val="left"/>
            </w:pPr>
            <w:r/>
            <w:r>
              <w:rPr>
                <w:b w:val="0"/>
                <w:color w:val="1A1A1A"/>
                <w:sz w:val="18"/>
              </w:rPr>
              <w:t>Observes participant behaviours against evaluation criteria; does not participate in decisions</w:t>
            </w:r>
          </w:p>
        </w:tc>
        <w:tc>
          <w:tcPr>
            <w:tcW w:type="dxa" w:w="1417"/>
            <w:shd w:val="clear" w:color="auto" w:fill="F0F2F4"/>
          </w:tcPr>
          <w:p>
            <w:pPr>
              <w:jc w:val="left"/>
            </w:pPr>
            <w:r/>
            <w:r>
              <w:rPr>
                <w:b w:val="0"/>
                <w:color w:val="1A1A1A"/>
                <w:sz w:val="18"/>
              </w:rPr>
              <w:t>Observer</w:t>
            </w:r>
          </w:p>
        </w:tc>
      </w:tr>
      <w:tr>
        <w:tc>
          <w:tcPr>
            <w:tcW w:type="dxa" w:w="2551"/>
          </w:tcPr>
          <w:p>
            <w:pPr>
              <w:jc w:val="left"/>
            </w:pPr>
            <w:r/>
            <w:r>
              <w:rPr>
                <w:b w:val="0"/>
                <w:color w:val="1A1A1A"/>
                <w:sz w:val="18"/>
              </w:rPr>
              <w:t>Participant</w:t>
            </w:r>
          </w:p>
        </w:tc>
        <w:tc>
          <w:tcPr>
            <w:tcW w:type="dxa" w:w="5386"/>
          </w:tcPr>
          <w:p>
            <w:pPr>
              <w:jc w:val="left"/>
            </w:pPr>
            <w:r/>
            <w:r>
              <w:rPr>
                <w:b w:val="0"/>
                <w:color w:val="1A1A1A"/>
                <w:sz w:val="18"/>
              </w:rPr>
              <w:t>Responds to injects in role; applies relevant plans and procedures; engages in discussion</w:t>
            </w:r>
          </w:p>
        </w:tc>
        <w:tc>
          <w:tcPr>
            <w:tcW w:type="dxa" w:w="1417"/>
          </w:tcPr>
          <w:p>
            <w:pPr>
              <w:jc w:val="left"/>
            </w:pPr>
            <w:r/>
            <w:r>
              <w:rPr>
                <w:b w:val="0"/>
                <w:color w:val="1A1A1A"/>
                <w:sz w:val="18"/>
              </w:rPr>
              <w:t>Participant</w:t>
            </w:r>
          </w:p>
        </w:tc>
      </w:tr>
      <w:tr>
        <w:tc>
          <w:tcPr>
            <w:tcW w:type="dxa" w:w="2551"/>
            <w:shd w:val="clear" w:color="auto" w:fill="F0F2F4"/>
          </w:tcPr>
          <w:p>
            <w:pPr>
              <w:jc w:val="left"/>
            </w:pPr>
            <w:r/>
            <w:r>
              <w:rPr>
                <w:b w:val="0"/>
                <w:color w:val="1A1A1A"/>
                <w:sz w:val="18"/>
              </w:rPr>
              <w:t>BCM Programme Owner</w:t>
            </w:r>
          </w:p>
        </w:tc>
        <w:tc>
          <w:tcPr>
            <w:tcW w:type="dxa" w:w="5386"/>
            <w:shd w:val="clear" w:color="auto" w:fill="F0F2F4"/>
          </w:tcPr>
          <w:p>
            <w:pPr>
              <w:jc w:val="left"/>
            </w:pPr>
            <w:r/>
            <w:r>
              <w:rPr>
                <w:b w:val="0"/>
                <w:color w:val="1A1A1A"/>
                <w:sz w:val="18"/>
              </w:rPr>
              <w:t>Exercise sponsor; receives the AAR; owns the improvement register</w:t>
            </w:r>
          </w:p>
        </w:tc>
        <w:tc>
          <w:tcPr>
            <w:tcW w:type="dxa" w:w="1417"/>
            <w:shd w:val="clear" w:color="auto" w:fill="F0F2F4"/>
          </w:tcPr>
          <w:p>
            <w:pPr>
              <w:jc w:val="left"/>
            </w:pPr>
            <w:r/>
            <w:r>
              <w:rPr>
                <w:b w:val="0"/>
                <w:color w:val="1A1A1A"/>
                <w:sz w:val="18"/>
              </w:rPr>
              <w:t>Governance</w:t>
            </w:r>
          </w:p>
        </w:tc>
      </w:tr>
      <w:tr>
        <w:tc>
          <w:tcPr>
            <w:tcW w:type="dxa" w:w="2551"/>
          </w:tcPr>
          <w:p>
            <w:pPr>
              <w:jc w:val="left"/>
            </w:pPr>
            <w:r/>
            <w:r>
              <w:rPr>
                <w:b w:val="0"/>
                <w:color w:val="1A1A1A"/>
                <w:sz w:val="18"/>
              </w:rPr>
              <w:t>Scribe / Note-taker</w:t>
            </w:r>
          </w:p>
        </w:tc>
        <w:tc>
          <w:tcPr>
            <w:tcW w:type="dxa" w:w="5386"/>
          </w:tcPr>
          <w:p>
            <w:pPr>
              <w:jc w:val="left"/>
            </w:pPr>
            <w:r/>
            <w:r>
              <w:rPr>
                <w:b w:val="0"/>
                <w:color w:val="1A1A1A"/>
                <w:sz w:val="18"/>
              </w:rPr>
              <w:t>Records decisions, actions, and notable observations throughout the exercise</w:t>
            </w:r>
          </w:p>
        </w:tc>
        <w:tc>
          <w:tcPr>
            <w:tcW w:type="dxa" w:w="1417"/>
          </w:tcPr>
          <w:p>
            <w:pPr>
              <w:jc w:val="left"/>
            </w:pPr>
            <w:r/>
            <w:r>
              <w:rPr>
                <w:b w:val="0"/>
                <w:color w:val="1A1A1A"/>
                <w:sz w:val="18"/>
              </w:rPr>
              <w:t>Support</w:t>
            </w:r>
          </w:p>
        </w:tc>
      </w:tr>
      <w:tr>
        <w:tc>
          <w:tcPr>
            <w:tcW w:type="dxa" w:w="2551"/>
            <w:shd w:val="clear" w:color="auto" w:fill="F0F2F4"/>
          </w:tcPr>
          <w:p>
            <w:pPr>
              <w:jc w:val="left"/>
            </w:pPr>
            <w:r/>
            <w:r>
              <w:rPr>
                <w:b w:val="0"/>
                <w:color w:val="1A1A1A"/>
                <w:sz w:val="18"/>
              </w:rPr>
              <w:t>Executive / Crisis Management Team</w:t>
            </w:r>
          </w:p>
        </w:tc>
        <w:tc>
          <w:tcPr>
            <w:tcW w:type="dxa" w:w="5386"/>
            <w:shd w:val="clear" w:color="auto" w:fill="F0F2F4"/>
          </w:tcPr>
          <w:p>
            <w:pPr>
              <w:jc w:val="left"/>
            </w:pPr>
            <w:r/>
            <w:r>
              <w:rPr>
                <w:b w:val="0"/>
                <w:color w:val="1A1A1A"/>
                <w:sz w:val="18"/>
              </w:rPr>
              <w:t>Exercise participant — respond to injects in designated role</w:t>
            </w:r>
          </w:p>
        </w:tc>
        <w:tc>
          <w:tcPr>
            <w:tcW w:type="dxa" w:w="1417"/>
            <w:shd w:val="clear" w:color="auto" w:fill="F0F2F4"/>
          </w:tcPr>
          <w:p>
            <w:pPr>
              <w:jc w:val="left"/>
            </w:pPr>
            <w:r/>
            <w:r>
              <w:rPr>
                <w:b w:val="0"/>
                <w:color w:val="1A1A1A"/>
                <w:sz w:val="18"/>
              </w:rPr>
              <w:t>Participant</w:t>
            </w:r>
          </w:p>
        </w:tc>
      </w:tr>
      <w:tr>
        <w:tc>
          <w:tcPr>
            <w:tcW w:type="dxa" w:w="2551"/>
          </w:tcPr>
          <w:p>
            <w:pPr>
              <w:jc w:val="left"/>
            </w:pPr>
            <w:r/>
            <w:r>
              <w:rPr>
                <w:b w:val="0"/>
                <w:color w:val="1A1A1A"/>
                <w:sz w:val="18"/>
              </w:rPr>
              <w:t>Business Continuity</w:t>
            </w:r>
          </w:p>
        </w:tc>
        <w:tc>
          <w:tcPr>
            <w:tcW w:type="dxa" w:w="5386"/>
          </w:tcPr>
          <w:p>
            <w:pPr>
              <w:jc w:val="left"/>
            </w:pPr>
            <w:r/>
            <w:r>
              <w:rPr>
                <w:b w:val="0"/>
                <w:color w:val="1A1A1A"/>
                <w:sz w:val="18"/>
              </w:rPr>
              <w:t>Exercise participant — respond to injects in designated role</w:t>
            </w:r>
          </w:p>
        </w:tc>
        <w:tc>
          <w:tcPr>
            <w:tcW w:type="dxa" w:w="1417"/>
          </w:tcPr>
          <w:p>
            <w:pPr>
              <w:jc w:val="left"/>
            </w:pPr>
            <w:r/>
            <w:r>
              <w:rPr>
                <w:b w:val="0"/>
                <w:color w:val="1A1A1A"/>
                <w:sz w:val="18"/>
              </w:rPr>
              <w:t>Participant</w:t>
            </w:r>
          </w:p>
        </w:tc>
      </w:tr>
      <w:tr>
        <w:tc>
          <w:tcPr>
            <w:tcW w:type="dxa" w:w="2551"/>
            <w:shd w:val="clear" w:color="auto" w:fill="F0F2F4"/>
          </w:tcPr>
          <w:p>
            <w:pPr>
              <w:jc w:val="left"/>
            </w:pPr>
            <w:r/>
            <w:r>
              <w:rPr>
                <w:b w:val="0"/>
                <w:color w:val="1A1A1A"/>
                <w:sz w:val="18"/>
              </w:rPr>
              <w:t>Operations</w:t>
            </w:r>
          </w:p>
        </w:tc>
        <w:tc>
          <w:tcPr>
            <w:tcW w:type="dxa" w:w="5386"/>
            <w:shd w:val="clear" w:color="auto" w:fill="F0F2F4"/>
          </w:tcPr>
          <w:p>
            <w:pPr>
              <w:jc w:val="left"/>
            </w:pPr>
            <w:r/>
            <w:r>
              <w:rPr>
                <w:b w:val="0"/>
                <w:color w:val="1A1A1A"/>
                <w:sz w:val="18"/>
              </w:rPr>
              <w:t>Exercise participant — respond to injects in designated role</w:t>
            </w:r>
          </w:p>
        </w:tc>
        <w:tc>
          <w:tcPr>
            <w:tcW w:type="dxa" w:w="1417"/>
            <w:shd w:val="clear" w:color="auto" w:fill="F0F2F4"/>
          </w:tcPr>
          <w:p>
            <w:pPr>
              <w:jc w:val="left"/>
            </w:pPr>
            <w:r/>
            <w:r>
              <w:rPr>
                <w:b w:val="0"/>
                <w:color w:val="1A1A1A"/>
                <w:sz w:val="18"/>
              </w:rPr>
              <w:t>Participant</w:t>
            </w:r>
          </w:p>
        </w:tc>
      </w:tr>
      <w:tr>
        <w:tc>
          <w:tcPr>
            <w:tcW w:type="dxa" w:w="2551"/>
          </w:tcPr>
          <w:p>
            <w:pPr>
              <w:jc w:val="left"/>
            </w:pPr>
            <w:r/>
            <w:r>
              <w:rPr>
                <w:b w:val="0"/>
                <w:color w:val="1A1A1A"/>
                <w:sz w:val="18"/>
              </w:rPr>
              <w:t>Facilities</w:t>
            </w:r>
          </w:p>
        </w:tc>
        <w:tc>
          <w:tcPr>
            <w:tcW w:type="dxa" w:w="5386"/>
          </w:tcPr>
          <w:p>
            <w:pPr>
              <w:jc w:val="left"/>
            </w:pPr>
            <w:r/>
            <w:r>
              <w:rPr>
                <w:b w:val="0"/>
                <w:color w:val="1A1A1A"/>
                <w:sz w:val="18"/>
              </w:rPr>
              <w:t>Exercise participant — respond to injects in designated role</w:t>
            </w:r>
          </w:p>
        </w:tc>
        <w:tc>
          <w:tcPr>
            <w:tcW w:type="dxa" w:w="1417"/>
          </w:tcPr>
          <w:p>
            <w:pPr>
              <w:jc w:val="left"/>
            </w:pPr>
            <w:r/>
            <w:r>
              <w:rPr>
                <w:b w:val="0"/>
                <w:color w:val="1A1A1A"/>
                <w:sz w:val="18"/>
              </w:rPr>
              <w:t>Participant</w:t>
            </w:r>
          </w:p>
        </w:tc>
      </w:tr>
      <w:tr>
        <w:tc>
          <w:tcPr>
            <w:tcW w:type="dxa" w:w="2551"/>
            <w:shd w:val="clear" w:color="auto" w:fill="F0F2F4"/>
          </w:tcPr>
          <w:p>
            <w:pPr>
              <w:jc w:val="left"/>
            </w:pPr>
            <w:r/>
            <w:r>
              <w:rPr>
                <w:b w:val="0"/>
                <w:color w:val="1A1A1A"/>
                <w:sz w:val="18"/>
              </w:rPr>
              <w:t>External Agency Liaison</w:t>
            </w:r>
          </w:p>
        </w:tc>
        <w:tc>
          <w:tcPr>
            <w:tcW w:type="dxa" w:w="5386"/>
            <w:shd w:val="clear" w:color="auto" w:fill="F0F2F4"/>
          </w:tcPr>
          <w:p>
            <w:pPr>
              <w:jc w:val="left"/>
            </w:pPr>
            <w:r/>
            <w:r>
              <w:rPr>
                <w:b w:val="0"/>
                <w:color w:val="1A1A1A"/>
                <w:sz w:val="18"/>
              </w:rPr>
              <w:t>Exercise participant — respond to injects in designated role</w:t>
            </w:r>
          </w:p>
        </w:tc>
        <w:tc>
          <w:tcPr>
            <w:tcW w:type="dxa" w:w="1417"/>
            <w:shd w:val="clear" w:color="auto" w:fill="F0F2F4"/>
          </w:tcPr>
          <w:p>
            <w:pPr>
              <w:jc w:val="left"/>
            </w:pPr>
            <w:r/>
            <w:r>
              <w:rPr>
                <w:b w:val="0"/>
                <w:color w:val="1A1A1A"/>
                <w:sz w:val="18"/>
              </w:rPr>
              <w:t>Participant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OBSERVER GUIDANCE: </w:t>
            </w:r>
            <w:r>
              <w:rPr>
                <w:color w:val="1A1A1A"/>
                <w:sz w:val="18"/>
              </w:rPr>
              <w:t>Observers must not prompt, assist, or intervene during the exercise. Their role is to record observations for the hot debrief and After Action Report.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LEARNING OBJECTIVES</w:t>
            </w:r>
          </w:p>
        </w:tc>
      </w:tr>
    </w:tbl>
    <w:p>
      <w:pPr>
        <w:spacing w:after="40"/>
      </w:pPr>
    </w:p>
    <w:p>
      <w:pPr>
        <w:spacing w:after="80"/>
      </w:pPr>
      <w:r>
        <w:rPr>
          <w:color w:val="1A1A1A"/>
          <w:sz w:val="20"/>
        </w:rPr>
        <w:t>The following objectives define what this exercise is designed to test and validate. Success criteria are defined for each objective and will be assessed in the After Action Report.</w:t>
      </w:r>
    </w:p>
    <w:tbl>
      <w:tblPr>
        <w:tblStyle w:val="TableGrid"/>
        <w:tblW w:type="auto" w:w="0"/>
        <w:tblLook w:firstColumn="1" w:firstRow="1" w:lastColumn="0" w:lastRow="0" w:noHBand="0" w:noVBand="1" w:val="04A0"/>
      </w:tblPr>
      <w:tblGrid>
        <w:gridCol w:w="2351"/>
        <w:gridCol w:w="2351"/>
        <w:gridCol w:w="2351"/>
        <w:gridCol w:w="2351"/>
      </w:tblGrid>
      <w:tr>
        <w:tc>
          <w:tcPr>
            <w:tcW w:type="dxa" w:w="454"/>
            <w:shd w:val="clear" w:color="auto" w:fill="0D1B2A"/>
          </w:tcPr>
          <w:p>
            <w:pPr>
              <w:jc w:val="left"/>
            </w:pPr>
            <w:r/>
            <w:r>
              <w:rPr>
                <w:b/>
                <w:color w:val="FFFFFF"/>
                <w:sz w:val="18"/>
              </w:rPr>
              <w:t>#</w:t>
            </w:r>
          </w:p>
        </w:tc>
        <w:tc>
          <w:tcPr>
            <w:tcW w:type="dxa" w:w="3685"/>
            <w:shd w:val="clear" w:color="auto" w:fill="0D1B2A"/>
          </w:tcPr>
          <w:p>
            <w:pPr>
              <w:jc w:val="left"/>
            </w:pPr>
            <w:r/>
            <w:r>
              <w:rPr>
                <w:b/>
                <w:color w:val="FFFFFF"/>
                <w:sz w:val="18"/>
              </w:rPr>
              <w:t>Objective</w:t>
            </w:r>
          </w:p>
        </w:tc>
        <w:tc>
          <w:tcPr>
            <w:tcW w:type="dxa" w:w="1984"/>
            <w:shd w:val="clear" w:color="auto" w:fill="0D1B2A"/>
          </w:tcPr>
          <w:p>
            <w:pPr>
              <w:jc w:val="left"/>
            </w:pPr>
            <w:r/>
            <w:r>
              <w:rPr>
                <w:b/>
                <w:color w:val="FFFFFF"/>
                <w:sz w:val="18"/>
              </w:rPr>
              <w:t>Capability Area</w:t>
            </w:r>
          </w:p>
        </w:tc>
        <w:tc>
          <w:tcPr>
            <w:tcW w:type="dxa" w:w="3231"/>
            <w:shd w:val="clear" w:color="auto" w:fill="0D1B2A"/>
          </w:tcPr>
          <w:p>
            <w:pPr>
              <w:jc w:val="left"/>
            </w:pPr>
            <w:r/>
            <w:r>
              <w:rPr>
                <w:b/>
                <w:color w:val="FFFFFF"/>
                <w:sz w:val="18"/>
              </w:rPr>
              <w:t>Success Criteria</w:t>
            </w:r>
          </w:p>
        </w:tc>
      </w:tr>
      <w:tr>
        <w:tc>
          <w:tcPr>
            <w:tcW w:type="dxa" w:w="454"/>
          </w:tcPr>
          <w:p>
            <w:pPr>
              <w:jc w:val="left"/>
            </w:pPr>
            <w:r/>
            <w:r>
              <w:rPr>
                <w:b w:val="0"/>
                <w:color w:val="1A1A1A"/>
                <w:sz w:val="18"/>
              </w:rPr>
              <w:t>1</w:t>
            </w:r>
          </w:p>
        </w:tc>
        <w:tc>
          <w:tcPr>
            <w:tcW w:type="dxa" w:w="3685"/>
          </w:tcPr>
          <w:p>
            <w:pPr>
              <w:jc w:val="left"/>
            </w:pPr>
            <w:r/>
            <w:r>
              <w:rPr>
                <w:b w:val="0"/>
                <w:color w:val="1A1A1A"/>
                <w:sz w:val="18"/>
              </w:rPr>
              <w:t>Test the effectiveness of the Crisis Management Team's activation and decision-making processes.</w:t>
            </w:r>
          </w:p>
        </w:tc>
        <w:tc>
          <w:tcPr>
            <w:tcW w:type="dxa" w:w="1984"/>
          </w:tcPr>
          <w:p>
            <w:pPr>
              <w:jc w:val="left"/>
            </w:pPr>
            <w:r/>
            <w:r>
              <w:rPr>
                <w:b w:val="0"/>
                <w:color w:val="1A1A1A"/>
                <w:sz w:val="18"/>
              </w:rPr>
              <w:t>Incident Escalation and Decision-Making</w:t>
            </w:r>
          </w:p>
        </w:tc>
        <w:tc>
          <w:tcPr>
            <w:tcW w:type="dxa" w:w="3231"/>
          </w:tcPr>
          <w:p>
            <w:pPr>
              <w:jc w:val="left"/>
            </w:pPr>
            <w:r/>
            <w:r>
              <w:rPr>
                <w:b w:val="0"/>
                <w:color w:val="1A1A1A"/>
                <w:sz w:val="18"/>
              </w:rPr>
              <w:t>The Crisis Management Team is activated within 30 minutes of incident notification, and key decisions are logged with timestamps and responsible parties identified.</w:t>
            </w:r>
          </w:p>
        </w:tc>
      </w:tr>
      <w:tr>
        <w:tc>
          <w:tcPr>
            <w:tcW w:type="dxa" w:w="454"/>
            <w:shd w:val="clear" w:color="auto" w:fill="F0F2F4"/>
          </w:tcPr>
          <w:p>
            <w:pPr>
              <w:jc w:val="left"/>
            </w:pPr>
            <w:r/>
            <w:r>
              <w:rPr>
                <w:b w:val="0"/>
                <w:color w:val="1A1A1A"/>
                <w:sz w:val="18"/>
              </w:rPr>
              <w:t>2</w:t>
            </w:r>
          </w:p>
        </w:tc>
        <w:tc>
          <w:tcPr>
            <w:tcW w:type="dxa" w:w="3685"/>
            <w:shd w:val="clear" w:color="auto" w:fill="F0F2F4"/>
          </w:tcPr>
          <w:p>
            <w:pPr>
              <w:jc w:val="left"/>
            </w:pPr>
            <w:r/>
            <w:r>
              <w:rPr>
                <w:b w:val="0"/>
                <w:color w:val="1A1A1A"/>
                <w:sz w:val="18"/>
              </w:rPr>
              <w:t>Validate the timeliness and accuracy of internal and external communications during the incident.</w:t>
            </w:r>
          </w:p>
        </w:tc>
        <w:tc>
          <w:tcPr>
            <w:tcW w:type="dxa" w:w="1984"/>
            <w:shd w:val="clear" w:color="auto" w:fill="F0F2F4"/>
          </w:tcPr>
          <w:p>
            <w:pPr>
              <w:jc w:val="left"/>
            </w:pPr>
            <w:r/>
            <w:r>
              <w:rPr>
                <w:b w:val="0"/>
                <w:color w:val="1A1A1A"/>
                <w:sz w:val="18"/>
              </w:rPr>
              <w:t>Crisis Communications</w:t>
            </w:r>
          </w:p>
        </w:tc>
        <w:tc>
          <w:tcPr>
            <w:tcW w:type="dxa" w:w="3231"/>
            <w:shd w:val="clear" w:color="auto" w:fill="F0F2F4"/>
          </w:tcPr>
          <w:p>
            <w:pPr>
              <w:jc w:val="left"/>
            </w:pPr>
            <w:r/>
            <w:r>
              <w:rPr>
                <w:b w:val="0"/>
                <w:color w:val="1A1A1A"/>
                <w:sz w:val="18"/>
              </w:rPr>
              <w:t>All communications are approved by the Communications Lead and disseminated within predefined timeframes, maintaining consistency and factual accuracy.</w:t>
            </w:r>
          </w:p>
        </w:tc>
      </w:tr>
      <w:tr>
        <w:tc>
          <w:tcPr>
            <w:tcW w:type="dxa" w:w="454"/>
          </w:tcPr>
          <w:p>
            <w:pPr>
              <w:jc w:val="left"/>
            </w:pPr>
            <w:r/>
            <w:r>
              <w:rPr>
                <w:b w:val="0"/>
                <w:color w:val="1A1A1A"/>
                <w:sz w:val="18"/>
              </w:rPr>
              <w:t>3</w:t>
            </w:r>
          </w:p>
        </w:tc>
        <w:tc>
          <w:tcPr>
            <w:tcW w:type="dxa" w:w="3685"/>
          </w:tcPr>
          <w:p>
            <w:pPr>
              <w:jc w:val="left"/>
            </w:pPr>
            <w:r/>
            <w:r>
              <w:rPr>
                <w:b w:val="0"/>
                <w:color w:val="1A1A1A"/>
                <w:sz w:val="18"/>
              </w:rPr>
              <w:t>Assess the organisation's ability to maintain critical water supply services during the disruption.</w:t>
            </w:r>
          </w:p>
        </w:tc>
        <w:tc>
          <w:tcPr>
            <w:tcW w:type="dxa" w:w="1984"/>
          </w:tcPr>
          <w:p>
            <w:pPr>
              <w:jc w:val="left"/>
            </w:pPr>
            <w:r/>
            <w:r>
              <w:rPr>
                <w:b w:val="0"/>
                <w:color w:val="1A1A1A"/>
                <w:sz w:val="18"/>
              </w:rPr>
              <w:t>Service Continuity</w:t>
            </w:r>
          </w:p>
        </w:tc>
        <w:tc>
          <w:tcPr>
            <w:tcW w:type="dxa" w:w="3231"/>
          </w:tcPr>
          <w:p>
            <w:pPr>
              <w:jc w:val="left"/>
            </w:pPr>
            <w:r/>
            <w:r>
              <w:rPr>
                <w:b w:val="0"/>
                <w:color w:val="1A1A1A"/>
                <w:sz w:val="18"/>
              </w:rPr>
              <w:t>Critical services are maintained at or above the Minimum Business Continuity Objective (MBCO) with no significant disruption to customers.</w:t>
            </w:r>
          </w:p>
        </w:tc>
      </w:tr>
      <w:tr>
        <w:tc>
          <w:tcPr>
            <w:tcW w:type="dxa" w:w="454"/>
            <w:shd w:val="clear" w:color="auto" w:fill="F0F2F4"/>
          </w:tcPr>
          <w:p>
            <w:pPr>
              <w:jc w:val="left"/>
            </w:pPr>
            <w:r/>
            <w:r>
              <w:rPr>
                <w:b w:val="0"/>
                <w:color w:val="1A1A1A"/>
                <w:sz w:val="18"/>
              </w:rPr>
              <w:t>4</w:t>
            </w:r>
          </w:p>
        </w:tc>
        <w:tc>
          <w:tcPr>
            <w:tcW w:type="dxa" w:w="3685"/>
            <w:shd w:val="clear" w:color="auto" w:fill="F0F2F4"/>
          </w:tcPr>
          <w:p>
            <w:pPr>
              <w:jc w:val="left"/>
            </w:pPr>
            <w:r/>
            <w:r>
              <w:rPr>
                <w:b w:val="0"/>
                <w:color w:val="1A1A1A"/>
                <w:sz w:val="18"/>
              </w:rPr>
              <w:t>Evaluate compliance with regulatory notification requirements within stipulated timeframes.</w:t>
            </w:r>
          </w:p>
        </w:tc>
        <w:tc>
          <w:tcPr>
            <w:tcW w:type="dxa" w:w="1984"/>
            <w:shd w:val="clear" w:color="auto" w:fill="F0F2F4"/>
          </w:tcPr>
          <w:p>
            <w:pPr>
              <w:jc w:val="left"/>
            </w:pPr>
            <w:r/>
            <w:r>
              <w:rPr>
                <w:b w:val="0"/>
                <w:color w:val="1A1A1A"/>
                <w:sz w:val="18"/>
              </w:rPr>
              <w:t>Regulatory and Legal Compliance</w:t>
            </w:r>
          </w:p>
        </w:tc>
        <w:tc>
          <w:tcPr>
            <w:tcW w:type="dxa" w:w="3231"/>
            <w:shd w:val="clear" w:color="auto" w:fill="F0F2F4"/>
          </w:tcPr>
          <w:p>
            <w:pPr>
              <w:jc w:val="left"/>
            </w:pPr>
            <w:r/>
            <w:r>
              <w:rPr>
                <w:b w:val="0"/>
                <w:color w:val="1A1A1A"/>
                <w:sz w:val="18"/>
              </w:rPr>
              <w:t>All relevant regulatory bodies are notified within required timeframes (e.g., 4 hours for FCA/PRA, 72 hours for ICO), with documented evidence of compliance.</w:t>
            </w:r>
          </w:p>
        </w:tc>
      </w:tr>
      <w:tr>
        <w:tc>
          <w:tcPr>
            <w:tcW w:type="dxa" w:w="454"/>
          </w:tcPr>
          <w:p>
            <w:pPr>
              <w:jc w:val="left"/>
            </w:pPr>
            <w:r/>
            <w:r>
              <w:rPr>
                <w:b w:val="0"/>
                <w:color w:val="1A1A1A"/>
                <w:sz w:val="18"/>
              </w:rPr>
              <w:t>5</w:t>
            </w:r>
          </w:p>
        </w:tc>
        <w:tc>
          <w:tcPr>
            <w:tcW w:type="dxa" w:w="3685"/>
          </w:tcPr>
          <w:p>
            <w:pPr>
              <w:jc w:val="left"/>
            </w:pPr>
            <w:r/>
            <w:r>
              <w:rPr>
                <w:b w:val="0"/>
                <w:color w:val="1A1A1A"/>
                <w:sz w:val="18"/>
              </w:rPr>
              <w:t>Demonstrate effective coordination and management of third-party dependencies impacted by the incident.</w:t>
            </w:r>
          </w:p>
        </w:tc>
        <w:tc>
          <w:tcPr>
            <w:tcW w:type="dxa" w:w="1984"/>
          </w:tcPr>
          <w:p>
            <w:pPr>
              <w:jc w:val="left"/>
            </w:pPr>
            <w:r/>
            <w:r>
              <w:rPr>
                <w:b w:val="0"/>
                <w:color w:val="1A1A1A"/>
                <w:sz w:val="18"/>
              </w:rPr>
              <w:t>Third Party Management</w:t>
            </w:r>
          </w:p>
        </w:tc>
        <w:tc>
          <w:tcPr>
            <w:tcW w:type="dxa" w:w="3231"/>
          </w:tcPr>
          <w:p>
            <w:pPr>
              <w:jc w:val="left"/>
            </w:pPr>
            <w:r/>
            <w:r>
              <w:rPr>
                <w:b w:val="0"/>
                <w:color w:val="1A1A1A"/>
                <w:sz w:val="18"/>
              </w:rPr>
              <w:t>All affected third-party suppliers are contacted and coordinated with to ensure continuity of supply chain services.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BACKGROUND</w:t>
            </w:r>
          </w:p>
        </w:tc>
      </w:tr>
    </w:tbl>
    <w:p>
      <w:pPr>
        <w:spacing w:after="40"/>
      </w:pPr>
    </w:p>
    <w:p>
      <w:pPr>
        <w:spacing w:after="80"/>
      </w:pPr>
      <w:r>
        <w:rPr>
          <w:color w:val="1A1A1A"/>
          <w:sz w:val="20"/>
        </w:rPr>
        <w:t>Barwon Water is facing a crisis after a major water main bursts under a busy intersection in Geelong, Victoria, disrupting water supply to several residential and commercial areas. The unexpected rupture occurs during peak business hours, causing significant flooding and infrastructure damage. As the leading water utility, Barwon Water must coordinate an immediate response to mitigate the impact on its customers and maintain critical water supply services. The incident attracts media attention and regulatory scrutiny, challenging Barwon Water's crisis management capabilities and its ability to maintain public trust.</w:t>
      </w:r>
    </w:p>
    <w:p>
      <w:pPr>
        <w:spacing w:before="200" w:after="40"/>
      </w:pPr>
      <w:r>
        <w:rPr>
          <w:b/>
          <w:color w:val="00447A"/>
          <w:sz w:val="22"/>
        </w:rPr>
        <w:t>Trigger Event</w:t>
      </w:r>
    </w:p>
    <w:p>
      <w:pPr>
        <w:spacing w:after="80"/>
      </w:pPr>
      <w:r>
        <w:rPr>
          <w:color w:val="1A1A1A"/>
          <w:sz w:val="20"/>
        </w:rPr>
        <w:t>A burst water main under a key intersection in Geelong is reported to Barwon Water's control centre, simultaneously causing water service disruptions and significant road flooding.</w:t>
      </w:r>
    </w:p>
    <w:p>
      <w:pPr>
        <w:spacing w:before="200" w:after="40"/>
      </w:pPr>
      <w:r>
        <w:rPr>
          <w:b/>
          <w:color w:val="00447A"/>
          <w:sz w:val="22"/>
        </w:rPr>
        <w:t>What Is Known at Exercise Start</w:t>
      </w:r>
    </w:p>
    <w:p>
      <w:pPr>
        <w:spacing w:after="80"/>
      </w:pPr>
      <w:r>
        <w:rPr>
          <w:color w:val="1A1A1A"/>
          <w:sz w:val="20"/>
        </w:rPr>
        <w:t>- Burst water main reported under a major intersection</w:t>
      </w:r>
    </w:p>
    <w:p>
      <w:pPr>
        <w:spacing w:after="80"/>
      </w:pPr>
      <w:r>
        <w:rPr>
          <w:color w:val="1A1A1A"/>
          <w:sz w:val="20"/>
        </w:rPr>
        <w:t>- Immediate water supply disruption to local areas</w:t>
      </w:r>
    </w:p>
    <w:p>
      <w:pPr>
        <w:spacing w:after="80"/>
      </w:pPr>
      <w:r>
        <w:rPr>
          <w:color w:val="1A1A1A"/>
          <w:sz w:val="20"/>
        </w:rPr>
        <w:t>- Flooding affecting road traffic and access</w:t>
      </w:r>
    </w:p>
    <w:p>
      <w:pPr>
        <w:spacing w:after="80"/>
      </w:pPr>
      <w:r>
        <w:rPr>
          <w:color w:val="1A1A1A"/>
          <w:sz w:val="20"/>
        </w:rPr>
        <w:t>- Initial media interest reported</w:t>
      </w:r>
    </w:p>
    <w:p>
      <w:pPr>
        <w:spacing w:before="200" w:after="40"/>
      </w:pPr>
      <w:r>
        <w:rPr>
          <w:b/>
          <w:color w:val="00447A"/>
          <w:sz w:val="22"/>
        </w:rPr>
        <w:t>What Remains Unknown</w:t>
      </w:r>
    </w:p>
    <w:p>
      <w:pPr>
        <w:spacing w:after="80"/>
      </w:pPr>
      <w:r>
        <w:rPr>
          <w:color w:val="1A1A1A"/>
          <w:sz w:val="20"/>
        </w:rPr>
        <w:t>- Extent of the infrastructure damage</w:t>
      </w:r>
    </w:p>
    <w:p>
      <w:pPr>
        <w:spacing w:after="80"/>
      </w:pPr>
      <w:r>
        <w:rPr>
          <w:color w:val="1A1A1A"/>
          <w:sz w:val="20"/>
        </w:rPr>
        <w:t>- Timeline for repair and service restoration</w:t>
      </w:r>
    </w:p>
    <w:p>
      <w:pPr>
        <w:spacing w:after="80"/>
      </w:pPr>
      <w:r>
        <w:rPr>
          <w:color w:val="1A1A1A"/>
          <w:sz w:val="20"/>
        </w:rPr>
        <w:t>- Impact on water quality and customer safety</w:t>
      </w:r>
    </w:p>
    <w:p>
      <w:pPr>
        <w:spacing w:after="80"/>
      </w:pPr>
      <w:r>
        <w:rPr>
          <w:color w:val="1A1A1A"/>
          <w:sz w:val="20"/>
        </w:rPr>
        <w:t>- Full scope of affected customers and businesses</w:t>
      </w:r>
    </w:p>
    <w:p>
      <w:pPr>
        <w:spacing w:before="200" w:after="40"/>
      </w:pPr>
      <w:r>
        <w:rPr>
          <w:b/>
          <w:color w:val="00447A"/>
          <w:sz w:val="22"/>
        </w:rPr>
        <w:t>Exercise Assumptions and Artificialities</w:t>
      </w:r>
    </w:p>
    <w:p>
      <w:pPr>
        <w:spacing w:after="80"/>
      </w:pPr>
      <w:r>
        <w:rPr>
          <w:color w:val="1A1A1A"/>
          <w:sz w:val="20"/>
        </w:rPr>
        <w:t>- Emergency services have been notified and are on the scene</w:t>
      </w:r>
    </w:p>
    <w:p>
      <w:pPr>
        <w:spacing w:after="80"/>
      </w:pPr>
      <w:r>
        <w:rPr>
          <w:color w:val="1A1A1A"/>
          <w:sz w:val="20"/>
        </w:rPr>
        <w:t>- Communication channels with key stakeholders are open</w:t>
      </w:r>
    </w:p>
    <w:p>
      <w:pPr>
        <w:spacing w:after="80"/>
      </w:pPr>
      <w:r>
        <w:rPr>
          <w:color w:val="1A1A1A"/>
          <w:sz w:val="20"/>
        </w:rPr>
        <w:t>- Temporary water supply solutions are available for critical services</w:t>
      </w:r>
    </w:p>
    <w:p>
      <w:pPr>
        <w:spacing w:after="80"/>
      </w:pPr>
      <w:r>
        <w:rPr>
          <w:color w:val="1A1A1A"/>
          <w:sz w:val="20"/>
        </w:rPr>
        <w:t>- The incident is isolated to one location without immediate threat to other infrastructure</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NOTE: </w:t>
            </w:r>
            <w:r>
              <w:rPr>
                <w:color w:val="1A1A1A"/>
                <w:sz w:val="18"/>
              </w:rPr>
              <w:t>Assumptions represent simplifications made to enable the exercise to run effectively. They do not reflect operational weaknesses.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EXERCISE TIMELINE</w:t>
            </w:r>
          </w:p>
        </w:tc>
      </w:tr>
    </w:tbl>
    <w:p>
      <w:pPr>
        <w:spacing w:after="40"/>
      </w:pP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680"/>
            <w:shd w:val="clear" w:color="auto" w:fill="0D1B2A"/>
          </w:tcPr>
          <w:p>
            <w:pPr>
              <w:jc w:val="left"/>
            </w:pPr>
            <w:r/>
            <w:r>
              <w:rPr>
                <w:b/>
                <w:color w:val="FFFFFF"/>
                <w:sz w:val="18"/>
              </w:rPr>
              <w:t>Phase</w:t>
            </w:r>
          </w:p>
        </w:tc>
        <w:tc>
          <w:tcPr>
            <w:tcW w:type="dxa" w:w="2154"/>
            <w:shd w:val="clear" w:color="auto" w:fill="0D1B2A"/>
          </w:tcPr>
          <w:p>
            <w:pPr>
              <w:jc w:val="left"/>
            </w:pPr>
            <w:r/>
            <w:r>
              <w:rPr>
                <w:b/>
                <w:color w:val="FFFFFF"/>
                <w:sz w:val="18"/>
              </w:rPr>
              <w:t>Name</w:t>
            </w:r>
          </w:p>
        </w:tc>
        <w:tc>
          <w:tcPr>
            <w:tcW w:type="dxa" w:w="1417"/>
            <w:shd w:val="clear" w:color="auto" w:fill="0D1B2A"/>
          </w:tcPr>
          <w:p>
            <w:pPr>
              <w:jc w:val="left"/>
            </w:pPr>
            <w:r/>
            <w:r>
              <w:rPr>
                <w:b/>
                <w:color w:val="FFFFFF"/>
                <w:sz w:val="18"/>
              </w:rPr>
              <w:t>Start</w:t>
            </w:r>
          </w:p>
        </w:tc>
        <w:tc>
          <w:tcPr>
            <w:tcW w:type="dxa" w:w="1417"/>
            <w:shd w:val="clear" w:color="auto" w:fill="0D1B2A"/>
          </w:tcPr>
          <w:p>
            <w:pPr>
              <w:jc w:val="left"/>
            </w:pPr>
            <w:r/>
            <w:r>
              <w:rPr>
                <w:b/>
                <w:color w:val="FFFFFF"/>
                <w:sz w:val="18"/>
              </w:rPr>
              <w:t>End</w:t>
            </w:r>
          </w:p>
        </w:tc>
        <w:tc>
          <w:tcPr>
            <w:tcW w:type="dxa" w:w="3685"/>
            <w:shd w:val="clear" w:color="auto" w:fill="0D1B2A"/>
          </w:tcPr>
          <w:p>
            <w:pPr>
              <w:jc w:val="left"/>
            </w:pPr>
            <w:r/>
            <w:r>
              <w:rPr>
                <w:b/>
                <w:color w:val="FFFFFF"/>
                <w:sz w:val="18"/>
              </w:rPr>
              <w:t>Focus</w:t>
            </w:r>
          </w:p>
        </w:tc>
      </w:tr>
      <w:tr>
        <w:tc>
          <w:tcPr>
            <w:tcW w:type="dxa" w:w="680"/>
          </w:tcPr>
          <w:p>
            <w:pPr>
              <w:jc w:val="left"/>
            </w:pPr>
            <w:r/>
            <w:r>
              <w:rPr>
                <w:b w:val="0"/>
                <w:color w:val="1A1A1A"/>
                <w:sz w:val="18"/>
              </w:rPr>
              <w:t>1</w:t>
            </w:r>
          </w:p>
        </w:tc>
        <w:tc>
          <w:tcPr>
            <w:tcW w:type="dxa" w:w="2154"/>
          </w:tcPr>
          <w:p>
            <w:pPr>
              <w:jc w:val="left"/>
            </w:pPr>
            <w:r/>
            <w:r>
              <w:rPr>
                <w:b w:val="0"/>
                <w:color w:val="1A1A1A"/>
                <w:sz w:val="18"/>
              </w:rPr>
              <w:t>Initial Response</w:t>
            </w:r>
          </w:p>
        </w:tc>
        <w:tc>
          <w:tcPr>
            <w:tcW w:type="dxa" w:w="1417"/>
          </w:tcPr>
          <w:p>
            <w:pPr>
              <w:jc w:val="left"/>
            </w:pPr>
            <w:r/>
            <w:r>
              <w:rPr>
                <w:b w:val="0"/>
                <w:color w:val="1A1A1A"/>
                <w:sz w:val="18"/>
              </w:rPr>
              <w:t>T+0 min</w:t>
            </w:r>
          </w:p>
        </w:tc>
        <w:tc>
          <w:tcPr>
            <w:tcW w:type="dxa" w:w="1417"/>
          </w:tcPr>
          <w:p>
            <w:pPr>
              <w:jc w:val="left"/>
            </w:pPr>
            <w:r/>
            <w:r>
              <w:rPr>
                <w:b w:val="0"/>
                <w:color w:val="1A1A1A"/>
                <w:sz w:val="18"/>
              </w:rPr>
              <w:t>T+25 min</w:t>
            </w:r>
          </w:p>
        </w:tc>
        <w:tc>
          <w:tcPr>
            <w:tcW w:type="dxa" w:w="3685"/>
          </w:tcPr>
          <w:p>
            <w:pPr>
              <w:jc w:val="left"/>
            </w:pPr>
            <w:r/>
            <w:r>
              <w:rPr>
                <w:b w:val="0"/>
                <w:color w:val="1A1A1A"/>
                <w:sz w:val="18"/>
              </w:rPr>
              <w:t>Test CMT activation and initial decision-making processes</w:t>
            </w:r>
          </w:p>
        </w:tc>
      </w:tr>
      <w:tr>
        <w:tc>
          <w:tcPr>
            <w:tcW w:type="dxa" w:w="680"/>
            <w:shd w:val="clear" w:color="auto" w:fill="F0F2F4"/>
          </w:tcPr>
          <w:p>
            <w:pPr>
              <w:jc w:val="left"/>
            </w:pPr>
            <w:r/>
            <w:r>
              <w:rPr>
                <w:b w:val="0"/>
                <w:color w:val="1A1A1A"/>
                <w:sz w:val="18"/>
              </w:rPr>
              <w:t>2</w:t>
            </w:r>
          </w:p>
        </w:tc>
        <w:tc>
          <w:tcPr>
            <w:tcW w:type="dxa" w:w="2154"/>
            <w:shd w:val="clear" w:color="auto" w:fill="F0F2F4"/>
          </w:tcPr>
          <w:p>
            <w:pPr>
              <w:jc w:val="left"/>
            </w:pPr>
            <w:r/>
            <w:r>
              <w:rPr>
                <w:b w:val="0"/>
                <w:color w:val="1A1A1A"/>
                <w:sz w:val="18"/>
              </w:rPr>
              <w:t>Communication and Coordination</w:t>
            </w:r>
          </w:p>
        </w:tc>
        <w:tc>
          <w:tcPr>
            <w:tcW w:type="dxa" w:w="1417"/>
            <w:shd w:val="clear" w:color="auto" w:fill="F0F2F4"/>
          </w:tcPr>
          <w:p>
            <w:pPr>
              <w:jc w:val="left"/>
            </w:pPr>
            <w:r/>
            <w:r>
              <w:rPr>
                <w:b w:val="0"/>
                <w:color w:val="1A1A1A"/>
                <w:sz w:val="18"/>
              </w:rPr>
              <w:t>T+25 min</w:t>
            </w:r>
          </w:p>
        </w:tc>
        <w:tc>
          <w:tcPr>
            <w:tcW w:type="dxa" w:w="1417"/>
            <w:shd w:val="clear" w:color="auto" w:fill="F0F2F4"/>
          </w:tcPr>
          <w:p>
            <w:pPr>
              <w:jc w:val="left"/>
            </w:pPr>
            <w:r/>
            <w:r>
              <w:rPr>
                <w:b w:val="0"/>
                <w:color w:val="1A1A1A"/>
                <w:sz w:val="18"/>
              </w:rPr>
              <w:t>T+55 min</w:t>
            </w:r>
          </w:p>
        </w:tc>
        <w:tc>
          <w:tcPr>
            <w:tcW w:type="dxa" w:w="3685"/>
            <w:shd w:val="clear" w:color="auto" w:fill="F0F2F4"/>
          </w:tcPr>
          <w:p>
            <w:pPr>
              <w:jc w:val="left"/>
            </w:pPr>
            <w:r/>
            <w:r>
              <w:rPr>
                <w:b w:val="0"/>
                <w:color w:val="1A1A1A"/>
                <w:sz w:val="18"/>
              </w:rPr>
              <w:t>Validate internal and external communications and coordination with third parties</w:t>
            </w:r>
          </w:p>
        </w:tc>
      </w:tr>
      <w:tr>
        <w:tc>
          <w:tcPr>
            <w:tcW w:type="dxa" w:w="680"/>
          </w:tcPr>
          <w:p>
            <w:pPr>
              <w:jc w:val="left"/>
            </w:pPr>
            <w:r/>
            <w:r>
              <w:rPr>
                <w:b w:val="0"/>
                <w:color w:val="1A1A1A"/>
                <w:sz w:val="18"/>
              </w:rPr>
              <w:t>3</w:t>
            </w:r>
          </w:p>
        </w:tc>
        <w:tc>
          <w:tcPr>
            <w:tcW w:type="dxa" w:w="2154"/>
          </w:tcPr>
          <w:p>
            <w:pPr>
              <w:jc w:val="left"/>
            </w:pPr>
            <w:r/>
            <w:r>
              <w:rPr>
                <w:b w:val="0"/>
                <w:color w:val="1A1A1A"/>
                <w:sz w:val="18"/>
              </w:rPr>
              <w:t>Sustained Operations</w:t>
            </w:r>
          </w:p>
        </w:tc>
        <w:tc>
          <w:tcPr>
            <w:tcW w:type="dxa" w:w="1417"/>
          </w:tcPr>
          <w:p>
            <w:pPr>
              <w:jc w:val="left"/>
            </w:pPr>
            <w:r/>
            <w:r>
              <w:rPr>
                <w:b w:val="0"/>
                <w:color w:val="1A1A1A"/>
                <w:sz w:val="18"/>
              </w:rPr>
              <w:t>T+55 min</w:t>
            </w:r>
          </w:p>
        </w:tc>
        <w:tc>
          <w:tcPr>
            <w:tcW w:type="dxa" w:w="1417"/>
          </w:tcPr>
          <w:p>
            <w:pPr>
              <w:jc w:val="left"/>
            </w:pPr>
            <w:r/>
            <w:r>
              <w:rPr>
                <w:b w:val="0"/>
                <w:color w:val="1A1A1A"/>
                <w:sz w:val="18"/>
              </w:rPr>
              <w:t>T+85 min</w:t>
            </w:r>
          </w:p>
        </w:tc>
        <w:tc>
          <w:tcPr>
            <w:tcW w:type="dxa" w:w="3685"/>
          </w:tcPr>
          <w:p>
            <w:pPr>
              <w:jc w:val="left"/>
            </w:pPr>
            <w:r/>
            <w:r>
              <w:rPr>
                <w:b w:val="0"/>
                <w:color w:val="1A1A1A"/>
                <w:sz w:val="18"/>
              </w:rPr>
              <w:t>Assess ability to maintain critical services and manage ongoing impacts</w:t>
            </w:r>
          </w:p>
        </w:tc>
      </w:tr>
      <w:tr>
        <w:tc>
          <w:tcPr>
            <w:tcW w:type="dxa" w:w="680"/>
            <w:shd w:val="clear" w:color="auto" w:fill="F0F2F4"/>
          </w:tcPr>
          <w:p>
            <w:pPr>
              <w:jc w:val="left"/>
            </w:pPr>
            <w:r/>
            <w:r>
              <w:rPr>
                <w:b w:val="0"/>
                <w:color w:val="1A1A1A"/>
                <w:sz w:val="18"/>
              </w:rPr>
              <w:t>4</w:t>
            </w:r>
          </w:p>
        </w:tc>
        <w:tc>
          <w:tcPr>
            <w:tcW w:type="dxa" w:w="2154"/>
            <w:shd w:val="clear" w:color="auto" w:fill="F0F2F4"/>
          </w:tcPr>
          <w:p>
            <w:pPr>
              <w:jc w:val="left"/>
            </w:pPr>
            <w:r/>
            <w:r>
              <w:rPr>
                <w:b w:val="0"/>
                <w:color w:val="1A1A1A"/>
                <w:sz w:val="18"/>
              </w:rPr>
              <w:t>Regulatory and Recovery Actions</w:t>
            </w:r>
          </w:p>
        </w:tc>
        <w:tc>
          <w:tcPr>
            <w:tcW w:type="dxa" w:w="1417"/>
            <w:shd w:val="clear" w:color="auto" w:fill="F0F2F4"/>
          </w:tcPr>
          <w:p>
            <w:pPr>
              <w:jc w:val="left"/>
            </w:pPr>
            <w:r/>
            <w:r>
              <w:rPr>
                <w:b w:val="0"/>
                <w:color w:val="1A1A1A"/>
                <w:sz w:val="18"/>
              </w:rPr>
              <w:t>T+85 min</w:t>
            </w:r>
          </w:p>
        </w:tc>
        <w:tc>
          <w:tcPr>
            <w:tcW w:type="dxa" w:w="1417"/>
            <w:shd w:val="clear" w:color="auto" w:fill="F0F2F4"/>
          </w:tcPr>
          <w:p>
            <w:pPr>
              <w:jc w:val="left"/>
            </w:pPr>
            <w:r/>
            <w:r>
              <w:rPr>
                <w:b w:val="0"/>
                <w:color w:val="1A1A1A"/>
                <w:sz w:val="18"/>
              </w:rPr>
              <w:t>T+105 min</w:t>
            </w:r>
          </w:p>
        </w:tc>
        <w:tc>
          <w:tcPr>
            <w:tcW w:type="dxa" w:w="3685"/>
            <w:shd w:val="clear" w:color="auto" w:fill="F0F2F4"/>
          </w:tcPr>
          <w:p>
            <w:pPr>
              <w:jc w:val="left"/>
            </w:pPr>
            <w:r/>
            <w:r>
              <w:rPr>
                <w:b w:val="0"/>
                <w:color w:val="1A1A1A"/>
                <w:sz w:val="18"/>
              </w:rPr>
              <w:t>Evaluate compliance with regulatory notifications and recovery strategies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GROUND RULES</w:t>
            </w:r>
          </w:p>
        </w:tc>
      </w:tr>
    </w:tbl>
    <w:p>
      <w:pPr>
        <w:spacing w:after="40"/>
      </w:pPr>
    </w:p>
    <w:p>
      <w:pPr>
        <w:pStyle w:val="ListBullet"/>
      </w:pPr>
      <w:r>
        <w:rPr>
          <w:color w:val="1A1A1A"/>
          <w:sz w:val="20"/>
        </w:rPr>
        <w:t>This is a no-fault learning exercise. Participation is in good faith; there are no wrong answers.</w:t>
      </w:r>
    </w:p>
    <w:p>
      <w:pPr>
        <w:pStyle w:val="ListBullet"/>
      </w:pPr>
      <w:r>
        <w:rPr>
          <w:color w:val="1A1A1A"/>
          <w:sz w:val="20"/>
        </w:rPr>
        <w:t>Treat the scenario as real and apply your actual plans, policies, and procedures throughout.</w:t>
      </w:r>
    </w:p>
    <w:p>
      <w:pPr>
        <w:pStyle w:val="ListBullet"/>
      </w:pPr>
      <w:r>
        <w:rPr>
          <w:color w:val="1A1A1A"/>
          <w:sz w:val="20"/>
        </w:rPr>
        <w:t>You may only act on information provided by the facilitator — do not use knowledge from outside the scenario.</w:t>
      </w:r>
    </w:p>
    <w:p>
      <w:pPr>
        <w:pStyle w:val="ListBullet"/>
      </w:pPr>
      <w:r>
        <w:rPr>
          <w:color w:val="1A1A1A"/>
          <w:sz w:val="20"/>
        </w:rPr>
        <w:t>Decisions made during the exercise do not constitute actual organisational decisions.</w:t>
      </w:r>
    </w:p>
    <w:p>
      <w:pPr>
        <w:pStyle w:val="ListBullet"/>
      </w:pPr>
      <w:r>
        <w:rPr>
          <w:color w:val="1A1A1A"/>
          <w:sz w:val="20"/>
        </w:rPr>
        <w:t>If the facilitator calls 'Exercise Suspend — No Duff', all exercise activity stops immediately and real emergency procedures take over.</w:t>
      </w:r>
    </w:p>
    <w:p>
      <w:pPr>
        <w:pStyle w:val="ListBullet"/>
      </w:pPr>
      <w:r>
        <w:rPr>
          <w:color w:val="1A1A1A"/>
          <w:sz w:val="20"/>
        </w:rPr>
        <w:t>Mobile phones and laptops should be silenced and closed unless they are part of the exercise.</w:t>
      </w:r>
    </w:p>
    <w:p>
      <w:pPr>
        <w:pStyle w:val="ListBullet"/>
      </w:pPr>
      <w:r>
        <w:rPr>
          <w:color w:val="1A1A1A"/>
          <w:sz w:val="20"/>
        </w:rPr>
        <w:t>All information shared during the exercise is confidential and must not be distributed outside approved channels.</w:t>
      </w:r>
    </w:p>
    <w:p>
      <w:pPr>
        <w:pStyle w:val="ListBullet"/>
      </w:pPr>
      <w:r>
        <w:rPr>
          <w:color w:val="1A1A1A"/>
          <w:sz w:val="20"/>
        </w:rPr>
        <w:t>The facilitator may pause the exercise at any time for group discussion or to explore a learning point.</w:t>
      </w:r>
    </w:p>
    <w:p>
      <w:pPr>
        <w:pStyle w:val="ListBullet"/>
      </w:pPr>
      <w:r>
        <w:rPr>
          <w:color w:val="1A1A1A"/>
          <w:sz w:val="20"/>
        </w:rPr>
        <w:t>If you are unsure what your plan requires — say so. That uncertainty is itself a valuable finding.</w:t>
      </w:r>
    </w:p>
    <w:p>
      <w:pPr>
        <w:pStyle w:val="ListBullet"/>
      </w:pPr>
      <w:r>
        <w:rPr>
          <w:color w:val="1A1A1A"/>
          <w:sz w:val="20"/>
        </w:rPr>
        <w:t>A no-blame, constructive environment is essential. Focus on processes and systems, not individuals.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RELATIONSHIP TO OTHER PLANS AND DOCUMENTS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4535"/>
            <w:shd w:val="clear" w:color="auto" w:fill="0D1B2A"/>
          </w:tcPr>
          <w:p>
            <w:pPr>
              <w:jc w:val="left"/>
            </w:pPr>
            <w:r/>
            <w:r>
              <w:rPr>
                <w:b/>
                <w:color w:val="FFFFFF"/>
                <w:sz w:val="18"/>
              </w:rPr>
              <w:t>Document / Plan</w:t>
            </w:r>
          </w:p>
        </w:tc>
        <w:tc>
          <w:tcPr>
            <w:tcW w:type="dxa" w:w="4819"/>
            <w:shd w:val="clear" w:color="auto" w:fill="0D1B2A"/>
          </w:tcPr>
          <w:p>
            <w:pPr>
              <w:jc w:val="left"/>
            </w:pPr>
            <w:r/>
            <w:r>
              <w:rPr>
                <w:b/>
                <w:color w:val="FFFFFF"/>
                <w:sz w:val="18"/>
              </w:rPr>
              <w:t>Relationship to this Exercise</w:t>
            </w:r>
          </w:p>
        </w:tc>
      </w:tr>
      <w:tr>
        <w:tc>
          <w:tcPr>
            <w:tcW w:type="dxa" w:w="4535"/>
          </w:tcPr>
          <w:p>
            <w:pPr>
              <w:jc w:val="left"/>
            </w:pPr>
            <w:r/>
            <w:r>
              <w:rPr>
                <w:b w:val="0"/>
                <w:color w:val="1A1A1A"/>
                <w:sz w:val="18"/>
              </w:rPr>
              <w:t>Business Continuity Plan</w:t>
            </w:r>
          </w:p>
        </w:tc>
        <w:tc>
          <w:tcPr>
            <w:tcW w:type="dxa" w:w="4819"/>
          </w:tcPr>
          <w:p>
            <w:pPr>
              <w:jc w:val="left"/>
            </w:pPr>
            <w:r/>
            <w:r>
              <w:rPr>
                <w:b w:val="0"/>
                <w:color w:val="1A1A1A"/>
                <w:sz w:val="18"/>
              </w:rPr>
              <w:t>Primary — under test in this exercise</w:t>
            </w:r>
          </w:p>
        </w:tc>
      </w:tr>
      <w:tr>
        <w:tc>
          <w:tcPr>
            <w:tcW w:type="dxa" w:w="4535"/>
            <w:shd w:val="clear" w:color="auto" w:fill="F0F2F4"/>
          </w:tcPr>
          <w:p>
            <w:pPr>
              <w:jc w:val="left"/>
            </w:pPr>
            <w:r/>
            <w:r>
              <w:rPr>
                <w:b w:val="0"/>
                <w:color w:val="1A1A1A"/>
                <w:sz w:val="18"/>
              </w:rPr>
              <w:t>Crisis Management Plan</w:t>
            </w:r>
          </w:p>
        </w:tc>
        <w:tc>
          <w:tcPr>
            <w:tcW w:type="dxa" w:w="4819"/>
            <w:shd w:val="clear" w:color="auto" w:fill="F0F2F4"/>
          </w:tcPr>
          <w:p>
            <w:pPr>
              <w:jc w:val="left"/>
            </w:pPr>
            <w:r/>
            <w:r>
              <w:rPr>
                <w:b w:val="0"/>
                <w:color w:val="1A1A1A"/>
                <w:sz w:val="18"/>
              </w:rPr>
              <w:t>Primary — under test in this exercise</w:t>
            </w:r>
          </w:p>
        </w:tc>
      </w:tr>
      <w:tr>
        <w:tc>
          <w:tcPr>
            <w:tcW w:type="dxa" w:w="4535"/>
          </w:tcPr>
          <w:p>
            <w:pPr>
              <w:jc w:val="left"/>
            </w:pPr>
            <w:r/>
            <w:r>
              <w:rPr>
                <w:b w:val="0"/>
                <w:color w:val="1A1A1A"/>
                <w:sz w:val="18"/>
              </w:rPr>
              <w:t>People</w:t>
            </w:r>
          </w:p>
        </w:tc>
        <w:tc>
          <w:tcPr>
            <w:tcW w:type="dxa" w:w="4819"/>
          </w:tcPr>
          <w:p>
            <w:pPr>
              <w:jc w:val="left"/>
            </w:pPr>
            <w:r/>
            <w:r>
              <w:rPr>
                <w:b w:val="0"/>
                <w:color w:val="1A1A1A"/>
                <w:sz w:val="18"/>
              </w:rPr>
              <w:t>Related dependency — referenced but not primary focus</w:t>
            </w:r>
          </w:p>
        </w:tc>
      </w:tr>
      <w:tr>
        <w:tc>
          <w:tcPr>
            <w:tcW w:type="dxa" w:w="4535"/>
            <w:shd w:val="clear" w:color="auto" w:fill="F0F2F4"/>
          </w:tcPr>
          <w:p>
            <w:pPr>
              <w:jc w:val="left"/>
            </w:pPr>
            <w:r/>
            <w:r>
              <w:rPr>
                <w:b w:val="0"/>
                <w:color w:val="1A1A1A"/>
                <w:sz w:val="18"/>
              </w:rPr>
              <w:t>Site / Facility</w:t>
            </w:r>
          </w:p>
        </w:tc>
        <w:tc>
          <w:tcPr>
            <w:tcW w:type="dxa" w:w="4819"/>
            <w:shd w:val="clear" w:color="auto" w:fill="F0F2F4"/>
          </w:tcPr>
          <w:p>
            <w:pPr>
              <w:jc w:val="left"/>
            </w:pPr>
            <w:r/>
            <w:r>
              <w:rPr>
                <w:b w:val="0"/>
                <w:color w:val="1A1A1A"/>
                <w:sz w:val="18"/>
              </w:rPr>
              <w:t>Related dependency — referenced but not primary focus</w:t>
            </w:r>
          </w:p>
        </w:tc>
      </w:tr>
      <w:tr>
        <w:tc>
          <w:tcPr>
            <w:tcW w:type="dxa" w:w="4535"/>
          </w:tcPr>
          <w:p>
            <w:pPr>
              <w:jc w:val="left"/>
            </w:pPr>
            <w:r/>
            <w:r>
              <w:rPr>
                <w:b w:val="0"/>
                <w:color w:val="1A1A1A"/>
                <w:sz w:val="18"/>
              </w:rPr>
              <w:t>Emergency Services</w:t>
            </w:r>
          </w:p>
        </w:tc>
        <w:tc>
          <w:tcPr>
            <w:tcW w:type="dxa" w:w="4819"/>
          </w:tcPr>
          <w:p>
            <w:pPr>
              <w:jc w:val="left"/>
            </w:pPr>
            <w:r/>
            <w:r>
              <w:rPr>
                <w:b w:val="0"/>
                <w:color w:val="1A1A1A"/>
                <w:sz w:val="18"/>
              </w:rPr>
              <w:t>Related dependency — referenced but not primary focus</w:t>
            </w:r>
          </w:p>
        </w:tc>
      </w:tr>
      <w:tr>
        <w:tc>
          <w:tcPr>
            <w:tcW w:type="dxa" w:w="4535"/>
            <w:shd w:val="clear" w:color="auto" w:fill="F0F2F4"/>
          </w:tcPr>
          <w:p>
            <w:pPr>
              <w:jc w:val="left"/>
            </w:pPr>
            <w:r/>
            <w:r>
              <w:rPr>
                <w:b w:val="0"/>
                <w:color w:val="1A1A1A"/>
                <w:sz w:val="18"/>
              </w:rPr>
              <w:t>Supplier / Vendor</w:t>
            </w:r>
          </w:p>
        </w:tc>
        <w:tc>
          <w:tcPr>
            <w:tcW w:type="dxa" w:w="4819"/>
            <w:shd w:val="clear" w:color="auto" w:fill="F0F2F4"/>
          </w:tcPr>
          <w:p>
            <w:pPr>
              <w:jc w:val="left"/>
            </w:pPr>
            <w:r/>
            <w:r>
              <w:rPr>
                <w:b w:val="0"/>
                <w:color w:val="1A1A1A"/>
                <w:sz w:val="18"/>
              </w:rPr>
              <w:t>Related dependency — referenced but not primary focus</w:t>
            </w:r>
          </w:p>
        </w:tc>
      </w:tr>
      <w:tr>
        <w:tc>
          <w:tcPr>
            <w:tcW w:type="dxa" w:w="4535"/>
          </w:tcPr>
          <w:p>
            <w:pPr>
              <w:jc w:val="left"/>
            </w:pPr>
            <w:r/>
            <w:r>
              <w:rPr>
                <w:b w:val="0"/>
                <w:color w:val="1A1A1A"/>
                <w:sz w:val="18"/>
              </w:rPr>
              <w:t>ISO 22301:2019 Business Continuity Management Systems</w:t>
            </w:r>
          </w:p>
        </w:tc>
        <w:tc>
          <w:tcPr>
            <w:tcW w:type="dxa" w:w="4819"/>
          </w:tcPr>
          <w:p>
            <w:pPr>
              <w:jc w:val="left"/>
            </w:pPr>
            <w:r/>
            <w:r>
              <w:rPr>
                <w:b w:val="0"/>
                <w:color w:val="1A1A1A"/>
                <w:sz w:val="18"/>
              </w:rPr>
              <w:t>Governing standard — exercise aligned to Clause 8.5</w:t>
            </w:r>
          </w:p>
        </w:tc>
      </w:tr>
      <w:tr>
        <w:tc>
          <w:tcPr>
            <w:tcW w:type="dxa" w:w="4535"/>
            <w:shd w:val="clear" w:color="auto" w:fill="F0F2F4"/>
          </w:tcPr>
          <w:p>
            <w:pPr>
              <w:jc w:val="left"/>
            </w:pPr>
            <w:r/>
            <w:r>
              <w:rPr>
                <w:b w:val="0"/>
                <w:color w:val="1A1A1A"/>
                <w:sz w:val="18"/>
              </w:rPr>
              <w:t>BCI GPG 2018 PP6 — Validation</w:t>
            </w:r>
          </w:p>
        </w:tc>
        <w:tc>
          <w:tcPr>
            <w:tcW w:type="dxa" w:w="4819"/>
            <w:shd w:val="clear" w:color="auto" w:fill="F0F2F4"/>
          </w:tcPr>
          <w:p>
            <w:pPr>
              <w:jc w:val="left"/>
            </w:pPr>
            <w:r/>
            <w:r>
              <w:rPr>
                <w:b w:val="0"/>
                <w:color w:val="1A1A1A"/>
                <w:sz w:val="18"/>
              </w:rPr>
              <w:t>Exercise design and structure standard</w:t>
            </w:r>
          </w:p>
        </w:tc>
      </w:tr>
      <w:tr>
        <w:tc>
          <w:tcPr>
            <w:tcW w:type="dxa" w:w="4535"/>
          </w:tcPr>
          <w:p>
            <w:pPr>
              <w:jc w:val="left"/>
            </w:pPr>
            <w:r/>
            <w:r>
              <w:rPr>
                <w:b w:val="0"/>
                <w:color w:val="1A1A1A"/>
                <w:sz w:val="18"/>
              </w:rPr>
              <w:t>BCM Programme Policy</w:t>
            </w:r>
          </w:p>
        </w:tc>
        <w:tc>
          <w:tcPr>
            <w:tcW w:type="dxa" w:w="4819"/>
          </w:tcPr>
          <w:p>
            <w:pPr>
              <w:jc w:val="left"/>
            </w:pPr>
            <w:r/>
            <w:r>
              <w:rPr>
                <w:b w:val="0"/>
                <w:color w:val="1A1A1A"/>
                <w:sz w:val="18"/>
              </w:rPr>
              <w:t>Parent policy — authorises and governs the exercise programme</w:t>
            </w:r>
          </w:p>
        </w:tc>
      </w:tr>
    </w:tbl>
    <w:p>
      <w:pPr>
        <w:spacing w:after="80"/>
      </w:pPr>
    </w:p>
    <w:p>
      <w:pPr>
        <w:spacing w:before="240" w:after="80"/>
        <w:pBdr>
          <w:bottom w:val="single" w:sz="6" w:space="1" w:color="0D1B2A"/>
        </w:pBdr>
      </w:pPr>
    </w:p>
    <w:p>
      <w:pPr>
        <w:jc w:val="center"/>
      </w:pPr>
      <w:r>
        <w:rPr>
          <w:color w:val="6C757D"/>
          <w:sz w:val="16"/>
        </w:rPr>
        <w:t>DISTRIBUTION: Participants only  ·  Internal Use Only  ·  BC Studio  ·  30 September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Internal Use Only  ·  BC Studio  ·  30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Burst Water Main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