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Global Pandemic</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11</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Loss of workforce, global uncertainty and enactment of BCPs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p>
      <w:pPr>
        <w:spacing w:before="200" w:after="40"/>
      </w:pPr>
      <w:r>
        <w:rPr>
          <w:b/>
          <w:color w:val="00447A"/>
          <w:sz w:val="22"/>
        </w:rPr>
        <w:t>Plans Under Test</w:t>
      </w:r>
    </w:p>
    <w:p>
      <w:pPr>
        <w:pStyle w:val="ListBullet"/>
      </w:pPr>
      <w:r>
        <w:rPr>
          <w:color w:val="1A1A1A"/>
          <w:sz w:val="20"/>
        </w:rPr>
        <w:t>Business Continuity Plan</w:t>
      </w:r>
    </w:p>
    <w:p>
      <w:pPr>
        <w:pStyle w:val="ListBullet"/>
      </w:pPr>
      <w:r>
        <w:rPr>
          <w:color w:val="1A1A1A"/>
          <w:sz w:val="20"/>
        </w:rPr>
        <w:t>Crisis Management Plan</w:t>
      </w:r>
    </w:p>
    <w:p>
      <w:pPr>
        <w:pStyle w:val="ListBullet"/>
      </w:pPr>
      <w:r>
        <w:rPr>
          <w:color w:val="1A1A1A"/>
          <w:sz w:val="20"/>
        </w:rPr>
        <w:t>Enterprise BCP</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preparedness and response capability in managing workforce disruptions due to a global pandemic.</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activation of the Crisis Management and Business Continuity Plans within 30 minutes of a pandemic alert.</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Crisis Management Team convenes and actions initial response steps within 30 minutes of alert.</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effectiveness of internal and external communications during a workforce disruption scenario.</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Communications are timely, consistent, and align with the established crisis communications plan.</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ability to maintain critical water supply and wastewater management services with a reduced workforce.</w:t>
            </w:r>
          </w:p>
        </w:tc>
        <w:tc>
          <w:tcPr>
            <w:tcW w:type="dxa" w:w="1701"/>
          </w:tcPr>
          <w:p>
            <w:pPr>
              <w:jc w:val="left"/>
            </w:pPr>
            <w:r/>
            <w:r>
              <w:rPr>
                <w:b w:val="0"/>
                <w:color w:val="1A1A1A"/>
                <w:sz w:val="18"/>
              </w:rPr>
              <w:t>Service Continuity</w:t>
            </w:r>
          </w:p>
        </w:tc>
        <w:tc>
          <w:tcPr>
            <w:tcW w:type="dxa" w:w="2551"/>
          </w:tcPr>
          <w:p>
            <w:pPr>
              <w:jc w:val="left"/>
            </w:pPr>
            <w:r/>
            <w:r>
              <w:rPr>
                <w:b w:val="0"/>
                <w:color w:val="1A1A1A"/>
                <w:sz w:val="18"/>
              </w:rPr>
              <w:t>Critical services continue without interruption, meeting established Minimum Business Continuity Objectives (MBCO).</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decision-making processes for transitioning from response to recovery phases during the pandemic.</w:t>
            </w:r>
          </w:p>
        </w:tc>
        <w:tc>
          <w:tcPr>
            <w:tcW w:type="dxa" w:w="1701"/>
            <w:shd w:val="clear" w:color="auto" w:fill="F0F2F4"/>
          </w:tcPr>
          <w:p>
            <w:pPr>
              <w:jc w:val="left"/>
            </w:pPr>
            <w:r/>
            <w:r>
              <w:rPr>
                <w:b w:val="0"/>
                <w:color w:val="1A1A1A"/>
                <w:sz w:val="18"/>
              </w:rPr>
              <w:t>Decision-Making</w:t>
            </w:r>
          </w:p>
        </w:tc>
        <w:tc>
          <w:tcPr>
            <w:tcW w:type="dxa" w:w="2551"/>
            <w:shd w:val="clear" w:color="auto" w:fill="F0F2F4"/>
          </w:tcPr>
          <w:p>
            <w:pPr>
              <w:jc w:val="left"/>
            </w:pPr>
            <w:r/>
            <w:r>
              <w:rPr>
                <w:b w:val="0"/>
                <w:color w:val="1A1A1A"/>
                <w:sz w:val="18"/>
              </w:rPr>
              <w:t>Decisions to shift to recovery mode are made within 4 hours of stabilizing the workforce disruption situation.</w:t>
            </w:r>
          </w:p>
        </w:tc>
        <w:tc>
          <w:tcPr>
            <w:tcW w:type="dxa" w:w="1531"/>
            <w:shd w:val="clear" w:color="auto" w:fill="F0F2F4"/>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a major regional water utility provider, is facing an unprecedented challenge as a rapidly spreading new variant of a global pandemic emerges. The pandemic primarily affects urban areas in Victoria, Australia, leading to a significant portion of the workforce being unable to report to work due to illness or quarantine measures. As the situation unfolds, the organisation struggles to maintain critical water supply and wastewater management services. Key services are at risk due to workforce shortages, and there is mounting pressure from regulators and the media to ensure continuity of essential services. The crisis management team must navigate the complexities of reduced staffing while managing external communications and stakeholder expectations.</w:t>
      </w:r>
    </w:p>
    <w:p>
      <w:pPr>
        <w:spacing w:before="200" w:after="40"/>
      </w:pPr>
      <w:r>
        <w:rPr>
          <w:b/>
          <w:color w:val="00447A"/>
          <w:sz w:val="22"/>
        </w:rPr>
        <w:t>Trigger Event</w:t>
      </w:r>
    </w:p>
    <w:p>
      <w:pPr>
        <w:spacing w:after="80"/>
      </w:pPr>
      <w:r>
        <w:rPr>
          <w:color w:val="1A1A1A"/>
          <w:sz w:val="20"/>
        </w:rPr>
        <w:t>At 08:00, the Chief Medical Officer issues a pandemic alert detailing a new variant of the virus spreading rapidly in Victoria, Australia, leading to immediate government-imposed restrictions and public health measures.</w:t>
      </w:r>
    </w:p>
    <w:p>
      <w:pPr>
        <w:spacing w:before="200" w:after="40"/>
      </w:pPr>
      <w:r>
        <w:rPr>
          <w:b/>
          <w:color w:val="00447A"/>
          <w:sz w:val="22"/>
        </w:rPr>
        <w:t>Known at Exercise Start</w:t>
      </w:r>
    </w:p>
    <w:p>
      <w:pPr>
        <w:spacing w:after="80"/>
      </w:pPr>
      <w:r>
        <w:rPr>
          <w:color w:val="1A1A1A"/>
          <w:sz w:val="20"/>
        </w:rPr>
        <w:t>- A pandemic alert has been issued for Victoria</w:t>
      </w:r>
    </w:p>
    <w:p>
      <w:pPr>
        <w:spacing w:after="80"/>
      </w:pPr>
      <w:r>
        <w:rPr>
          <w:color w:val="1A1A1A"/>
          <w:sz w:val="20"/>
        </w:rPr>
        <w:t>- Workforce numbers are expected to drop significantly</w:t>
      </w:r>
    </w:p>
    <w:p>
      <w:pPr>
        <w:spacing w:after="80"/>
      </w:pPr>
      <w:r>
        <w:rPr>
          <w:color w:val="1A1A1A"/>
          <w:sz w:val="20"/>
        </w:rPr>
        <w:t>- Government restrictions are in place, affecting movement and gatherings</w:t>
      </w:r>
    </w:p>
    <w:p>
      <w:pPr>
        <w:spacing w:after="80"/>
      </w:pPr>
      <w:r>
        <w:rPr>
          <w:color w:val="1A1A1A"/>
          <w:sz w:val="20"/>
        </w:rPr>
        <w:t>- Key customers and stakeholders are demanding continuity assurances</w:t>
      </w:r>
    </w:p>
    <w:p>
      <w:pPr>
        <w:spacing w:before="200" w:after="40"/>
      </w:pPr>
      <w:r>
        <w:rPr>
          <w:b/>
          <w:color w:val="00447A"/>
          <w:sz w:val="22"/>
        </w:rPr>
        <w:t>Unknown at Exercise Start</w:t>
      </w:r>
    </w:p>
    <w:p>
      <w:pPr>
        <w:spacing w:after="80"/>
      </w:pPr>
      <w:r>
        <w:rPr>
          <w:color w:val="1A1A1A"/>
          <w:sz w:val="20"/>
        </w:rPr>
        <w:t>- The exact impact on staff availability and operations</w:t>
      </w:r>
    </w:p>
    <w:p>
      <w:pPr>
        <w:spacing w:after="80"/>
      </w:pPr>
      <w:r>
        <w:rPr>
          <w:color w:val="1A1A1A"/>
          <w:sz w:val="20"/>
        </w:rPr>
        <w:t>- How long the restrictions will remain in place</w:t>
      </w:r>
    </w:p>
    <w:p>
      <w:pPr>
        <w:spacing w:after="80"/>
      </w:pPr>
      <w:r>
        <w:rPr>
          <w:color w:val="1A1A1A"/>
          <w:sz w:val="20"/>
        </w:rPr>
        <w:t>- The full extent of service disruptions</w:t>
      </w:r>
    </w:p>
    <w:p>
      <w:pPr>
        <w:spacing w:after="80"/>
      </w:pPr>
      <w:r>
        <w:rPr>
          <w:color w:val="1A1A1A"/>
          <w:sz w:val="20"/>
        </w:rPr>
        <w:t>- The specific expectations and requirements of regulators</w:t>
      </w:r>
    </w:p>
    <w:p>
      <w:pPr>
        <w:spacing w:before="200" w:after="40"/>
      </w:pPr>
      <w:r>
        <w:rPr>
          <w:b/>
          <w:color w:val="00447A"/>
          <w:sz w:val="22"/>
        </w:rPr>
        <w:t>Exercise Assumptions</w:t>
      </w:r>
    </w:p>
    <w:p>
      <w:pPr>
        <w:spacing w:after="80"/>
      </w:pPr>
      <w:r>
        <w:rPr>
          <w:color w:val="1A1A1A"/>
          <w:sz w:val="20"/>
        </w:rPr>
        <w:t>- The exercise simulates a worst-case scenario with a 30% workforce reduction</w:t>
      </w:r>
    </w:p>
    <w:p>
      <w:pPr>
        <w:spacing w:after="80"/>
      </w:pPr>
      <w:r>
        <w:rPr>
          <w:color w:val="1A1A1A"/>
          <w:sz w:val="20"/>
        </w:rPr>
        <w:t>- Communications systems remain operational throughout</w:t>
      </w:r>
    </w:p>
    <w:p>
      <w:pPr>
        <w:spacing w:after="80"/>
      </w:pPr>
      <w:r>
        <w:rPr>
          <w:color w:val="1A1A1A"/>
          <w:sz w:val="20"/>
        </w:rPr>
        <w:t>- No actual health risks to participants during the exercise</w:t>
      </w:r>
    </w:p>
    <w:p>
      <w:pPr>
        <w:spacing w:after="80"/>
      </w:pPr>
      <w:r>
        <w:rPr>
          <w:color w:val="1A1A1A"/>
          <w:sz w:val="20"/>
        </w:rPr>
        <w:t>- All actions are simulated and do not affect real operations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Activation and Initial Response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National Health Authority</w:t>
              <w:br/>
              <w:t>Subject: Immediate Action Required: Pandemic Alert</w:t>
              <w:br/>
              <w:br/>
              <w:t>Dear Team,</w:t>
              <w:br/>
              <w:br/>
              <w:t>A pandemic alert has been issued for a new virus variant affecting urban areas in Victoria. Immediate activation of your Crisis Management and Business Continuity Plans is required. Please convene your teams and confirm activation within 30 minutes.</w:t>
              <w:br/>
              <w:br/>
              <w:t>Regards,</w:t>
              <w:br/>
              <w:t>Health Authority</w:t>
              <w:br/>
              <w:t>[Directed to: Crisis Management Team]</w:t>
            </w:r>
          </w:p>
        </w:tc>
        <w:tc>
          <w:tcPr>
            <w:tcW w:type="dxa" w:w="2268"/>
          </w:tcPr>
          <w:p>
            <w:pPr>
              <w:jc w:val="left"/>
            </w:pPr>
            <w:r/>
            <w:r>
              <w:rPr>
                <w:b w:val="0"/>
                <w:color w:val="1A1A1A"/>
                <w:sz w:val="18"/>
              </w:rPr>
              <w:t>Crisis Management Team convenes and initiates response.</w:t>
            </w:r>
          </w:p>
        </w:tc>
        <w:tc>
          <w:tcPr>
            <w:tcW w:type="dxa" w:w="794"/>
          </w:tcPr>
          <w:p>
            <w:pPr>
              <w:jc w:val="left"/>
            </w:pPr>
            <w:r/>
            <w:r>
              <w:rPr>
                <w:b w:val="0"/>
                <w:color w:val="1A1A1A"/>
                <w:sz w:val="18"/>
              </w:rPr>
              <w:t>Response initiated within 30 minutes.</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T+15m</w:t>
            </w:r>
          </w:p>
        </w:tc>
        <w:tc>
          <w:tcPr>
            <w:tcW w:type="dxa" w:w="1417"/>
            <w:shd w:val="clear" w:color="auto" w:fill="F0F2F4"/>
          </w:tcPr>
          <w:p>
            <w:pPr>
              <w:jc w:val="left"/>
            </w:pPr>
            <w:r/>
            <w:r>
              <w:rPr>
                <w:b w:val="0"/>
                <w:color w:val="1A1A1A"/>
                <w:sz w:val="18"/>
              </w:rPr>
              <w:t>Information</w:t>
              <w:br/>
              <w:t>Teams</w:t>
            </w:r>
          </w:p>
        </w:tc>
        <w:tc>
          <w:tcPr>
            <w:tcW w:type="dxa" w:w="3685"/>
            <w:shd w:val="clear" w:color="auto" w:fill="F0F2F4"/>
          </w:tcPr>
          <w:p>
            <w:pPr>
              <w:jc w:val="left"/>
            </w:pPr>
            <w:r/>
            <w:r>
              <w:rPr>
                <w:b w:val="0"/>
                <w:color w:val="1A1A1A"/>
                <w:sz w:val="18"/>
              </w:rPr>
              <w:t>FROM: HR Department</w:t>
              <w:br/>
              <w:t>Urgent update: 30% workforce out sick/quarantined. Immediate action needed to manage ops.</w:t>
              <w:br/>
              <w:t>[Directed to: Crisis Management Team]</w:t>
            </w:r>
          </w:p>
        </w:tc>
        <w:tc>
          <w:tcPr>
            <w:tcW w:type="dxa" w:w="2268"/>
            <w:shd w:val="clear" w:color="auto" w:fill="F0F2F4"/>
          </w:tcPr>
          <w:p>
            <w:pPr>
              <w:jc w:val="left"/>
            </w:pPr>
            <w:r/>
            <w:r>
              <w:rPr>
                <w:b w:val="0"/>
                <w:color w:val="1A1A1A"/>
                <w:sz w:val="18"/>
              </w:rPr>
              <w:t>Discuss workforce management and prioritize critical functions.</w:t>
            </w:r>
          </w:p>
        </w:tc>
        <w:tc>
          <w:tcPr>
            <w:tcW w:type="dxa" w:w="794"/>
            <w:shd w:val="clear" w:color="auto" w:fill="F0F2F4"/>
          </w:tcPr>
          <w:p>
            <w:pPr>
              <w:jc w:val="left"/>
            </w:pPr>
            <w:r/>
            <w:r>
              <w:rPr>
                <w:b w:val="0"/>
                <w:color w:val="1A1A1A"/>
                <w:sz w:val="18"/>
              </w:rPr>
              <w:t>Proactive workforce management strategies discussed.</w:t>
            </w:r>
          </w:p>
        </w:tc>
      </w:tr>
    </w:tbl>
    <w:p>
      <w:pPr>
        <w:spacing w:after="80"/>
      </w:pPr>
    </w:p>
    <w:p>
      <w:pPr>
        <w:spacing w:before="200" w:after="40"/>
      </w:pPr>
      <w:r>
        <w:rPr>
          <w:b/>
          <w:color w:val="00447A"/>
          <w:sz w:val="22"/>
        </w:rPr>
        <w:t>Phase: Communication and Coordination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T+35m</w:t>
            </w:r>
          </w:p>
        </w:tc>
        <w:tc>
          <w:tcPr>
            <w:tcW w:type="dxa" w:w="1417"/>
          </w:tcPr>
          <w:p>
            <w:pPr>
              <w:jc w:val="left"/>
            </w:pPr>
            <w:r/>
            <w:r>
              <w:rPr>
                <w:b w:val="0"/>
                <w:color w:val="1A1A1A"/>
                <w:sz w:val="18"/>
              </w:rPr>
              <w:t>Comms</w:t>
              <w:br/>
              <w:t>Phone</w:t>
            </w:r>
          </w:p>
        </w:tc>
        <w:tc>
          <w:tcPr>
            <w:tcW w:type="dxa" w:w="3685"/>
          </w:tcPr>
          <w:p>
            <w:pPr>
              <w:jc w:val="left"/>
            </w:pPr>
            <w:r/>
            <w:r>
              <w:rPr>
                <w:b w:val="0"/>
                <w:color w:val="1A1A1A"/>
                <w:sz w:val="18"/>
              </w:rPr>
              <w:t>FROM: Regulatory Authority</w:t>
              <w:br/>
              <w:t>This is the Regulatory Authority. We need an update on your service continuity plans given the workforce disruption.</w:t>
              <w:br/>
              <w:t>[Directed to: Crisis Communications Lead]</w:t>
            </w:r>
          </w:p>
        </w:tc>
        <w:tc>
          <w:tcPr>
            <w:tcW w:type="dxa" w:w="2268"/>
          </w:tcPr>
          <w:p>
            <w:pPr>
              <w:jc w:val="left"/>
            </w:pPr>
            <w:r/>
            <w:r>
              <w:rPr>
                <w:b w:val="0"/>
                <w:color w:val="1A1A1A"/>
                <w:sz w:val="18"/>
              </w:rPr>
              <w:t>Prepare and deliver a compliance update to the regulator.</w:t>
            </w:r>
          </w:p>
        </w:tc>
        <w:tc>
          <w:tcPr>
            <w:tcW w:type="dxa" w:w="794"/>
          </w:tcPr>
          <w:p>
            <w:pPr>
              <w:jc w:val="left"/>
            </w:pPr>
            <w:r/>
            <w:r>
              <w:rPr>
                <w:b w:val="0"/>
                <w:color w:val="1A1A1A"/>
                <w:sz w:val="18"/>
              </w:rPr>
              <w:t>Compliance update delivered within 30 minutes.</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T+50m</w:t>
            </w:r>
          </w:p>
        </w:tc>
        <w:tc>
          <w:tcPr>
            <w:tcW w:type="dxa" w:w="1417"/>
            <w:shd w:val="clear" w:color="auto" w:fill="F0F2F4"/>
          </w:tcPr>
          <w:p>
            <w:pPr>
              <w:jc w:val="left"/>
            </w:pPr>
            <w:r/>
            <w:r>
              <w:rPr>
                <w:b w:val="0"/>
                <w:color w:val="1A1A1A"/>
                <w:sz w:val="18"/>
              </w:rPr>
              <w:t>Comms</w:t>
              <w:br/>
              <w:t>News Bulletin</w:t>
            </w:r>
          </w:p>
        </w:tc>
        <w:tc>
          <w:tcPr>
            <w:tcW w:type="dxa" w:w="3685"/>
            <w:shd w:val="clear" w:color="auto" w:fill="F0F2F4"/>
          </w:tcPr>
          <w:p>
            <w:pPr>
              <w:jc w:val="left"/>
            </w:pPr>
            <w:r/>
            <w:r>
              <w:rPr>
                <w:b w:val="0"/>
                <w:color w:val="1A1A1A"/>
                <w:sz w:val="18"/>
              </w:rPr>
              <w:t>FROM: Local News Station</w:t>
              <w:br/>
              <w:t>Barwon Water faces challenges as pandemic affects workforce. Service continuity under scrutiny.</w:t>
              <w:br/>
              <w:t>[Directed to: Public]</w:t>
            </w:r>
          </w:p>
        </w:tc>
        <w:tc>
          <w:tcPr>
            <w:tcW w:type="dxa" w:w="2268"/>
            <w:shd w:val="clear" w:color="auto" w:fill="F0F2F4"/>
          </w:tcPr>
          <w:p>
            <w:pPr>
              <w:jc w:val="left"/>
            </w:pPr>
            <w:r/>
            <w:r>
              <w:rPr>
                <w:b w:val="0"/>
                <w:color w:val="1A1A1A"/>
                <w:sz w:val="18"/>
              </w:rPr>
              <w:t>Release a holding statement and manage public perception.</w:t>
            </w:r>
          </w:p>
        </w:tc>
        <w:tc>
          <w:tcPr>
            <w:tcW w:type="dxa" w:w="794"/>
            <w:shd w:val="clear" w:color="auto" w:fill="F0F2F4"/>
          </w:tcPr>
          <w:p>
            <w:pPr>
              <w:jc w:val="left"/>
            </w:pPr>
            <w:r/>
            <w:r>
              <w:rPr>
                <w:b w:val="0"/>
                <w:color w:val="1A1A1A"/>
                <w:sz w:val="18"/>
              </w:rPr>
              <w:t>Holding statement issued promptly and aligns with crisis plan.</w:t>
            </w:r>
          </w:p>
        </w:tc>
      </w:tr>
    </w:tbl>
    <w:p>
      <w:pPr>
        <w:spacing w:after="80"/>
      </w:pPr>
    </w:p>
    <w:p>
      <w:pPr>
        <w:spacing w:before="200" w:after="40"/>
      </w:pPr>
      <w:r>
        <w:rPr>
          <w:b/>
          <w:color w:val="00447A"/>
          <w:sz w:val="22"/>
        </w:rPr>
        <w:t>Phase: Operational Continuity</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T+80m</w:t>
            </w:r>
          </w:p>
        </w:tc>
        <w:tc>
          <w:tcPr>
            <w:tcW w:type="dxa" w:w="1417"/>
          </w:tcPr>
          <w:p>
            <w:pPr>
              <w:jc w:val="left"/>
            </w:pPr>
            <w:r/>
            <w:r>
              <w:rPr>
                <w:b w:val="0"/>
                <w:color w:val="1A1A1A"/>
                <w:sz w:val="18"/>
              </w:rPr>
              <w:t>Action</w:t>
              <w:br/>
              <w:t>Internal Memo</w:t>
            </w:r>
          </w:p>
        </w:tc>
        <w:tc>
          <w:tcPr>
            <w:tcW w:type="dxa" w:w="3685"/>
          </w:tcPr>
          <w:p>
            <w:pPr>
              <w:jc w:val="left"/>
            </w:pPr>
            <w:r/>
            <w:r>
              <w:rPr>
                <w:b w:val="0"/>
                <w:color w:val="1A1A1A"/>
                <w:sz w:val="18"/>
              </w:rPr>
              <w:t>FROM: Operations Lead</w:t>
              <w:br/>
              <w:t>Subject: Current Operational Capacity</w:t>
              <w:br/>
              <w:br/>
              <w:t>Despite workforce shortages, water supply is stable. Wastewater management is under strain, with potential service impacts if staff shortages persist. Urgent review of continuity plans needed.</w:t>
              <w:br/>
              <w:br/>
              <w:t>Regards,</w:t>
              <w:br/>
              <w:t>Operations Lead</w:t>
              <w:br/>
              <w:t>[Directed to: Crisis Management Team]</w:t>
            </w:r>
          </w:p>
        </w:tc>
        <w:tc>
          <w:tcPr>
            <w:tcW w:type="dxa" w:w="2268"/>
          </w:tcPr>
          <w:p>
            <w:pPr>
              <w:jc w:val="left"/>
            </w:pPr>
            <w:r/>
            <w:r>
              <w:rPr>
                <w:b w:val="0"/>
                <w:color w:val="1A1A1A"/>
                <w:sz w:val="18"/>
              </w:rPr>
              <w:t>Assess and adjust continuity plans for wastewater management.</w:t>
            </w:r>
          </w:p>
        </w:tc>
        <w:tc>
          <w:tcPr>
            <w:tcW w:type="dxa" w:w="794"/>
          </w:tcPr>
          <w:p>
            <w:pPr>
              <w:jc w:val="left"/>
            </w:pPr>
            <w:r/>
            <w:r>
              <w:rPr>
                <w:b w:val="0"/>
                <w:color w:val="1A1A1A"/>
                <w:sz w:val="18"/>
              </w:rPr>
              <w:t>Continuity adjustments made to address service strains.</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T+95m</w:t>
            </w:r>
          </w:p>
        </w:tc>
        <w:tc>
          <w:tcPr>
            <w:tcW w:type="dxa" w:w="1417"/>
            <w:shd w:val="clear" w:color="auto" w:fill="F0F2F4"/>
          </w:tcPr>
          <w:p>
            <w:pPr>
              <w:jc w:val="left"/>
            </w:pPr>
            <w:r/>
            <w:r>
              <w:rPr>
                <w:b w:val="0"/>
                <w:color w:val="1A1A1A"/>
                <w:sz w:val="18"/>
              </w:rPr>
              <w:t>Information</w:t>
              <w:br/>
              <w:t>Sms</w:t>
            </w:r>
          </w:p>
        </w:tc>
        <w:tc>
          <w:tcPr>
            <w:tcW w:type="dxa" w:w="3685"/>
            <w:shd w:val="clear" w:color="auto" w:fill="F0F2F4"/>
          </w:tcPr>
          <w:p>
            <w:pPr>
              <w:jc w:val="left"/>
            </w:pPr>
            <w:r/>
            <w:r>
              <w:rPr>
                <w:b w:val="0"/>
                <w:color w:val="1A1A1A"/>
                <w:sz w:val="18"/>
              </w:rPr>
              <w:t>FROM: Staff Member</w:t>
              <w:br/>
              <w:t>Unsure if I can work tomorrow. Quarantine rules unclear.</w:t>
              <w:br/>
              <w:t>[Directed to: HR Department]</w:t>
            </w:r>
          </w:p>
        </w:tc>
        <w:tc>
          <w:tcPr>
            <w:tcW w:type="dxa" w:w="2268"/>
            <w:shd w:val="clear" w:color="auto" w:fill="F0F2F4"/>
          </w:tcPr>
          <w:p>
            <w:pPr>
              <w:jc w:val="left"/>
            </w:pPr>
            <w:r/>
            <w:r>
              <w:rPr>
                <w:b w:val="0"/>
                <w:color w:val="1A1A1A"/>
                <w:sz w:val="18"/>
              </w:rPr>
              <w:t>Clarify quarantine rules and communicate to staff.</w:t>
            </w:r>
          </w:p>
        </w:tc>
        <w:tc>
          <w:tcPr>
            <w:tcW w:type="dxa" w:w="794"/>
            <w:shd w:val="clear" w:color="auto" w:fill="F0F2F4"/>
          </w:tcPr>
          <w:p>
            <w:pPr>
              <w:jc w:val="left"/>
            </w:pPr>
            <w:r/>
            <w:r>
              <w:rPr>
                <w:b w:val="0"/>
                <w:color w:val="1A1A1A"/>
                <w:sz w:val="18"/>
              </w:rPr>
              <w:t>Clear communication to staff on availability and policy.</w:t>
            </w:r>
          </w:p>
        </w:tc>
      </w:tr>
      <w:tr>
        <w:tc>
          <w:tcPr>
            <w:tcW w:type="dxa" w:w="454"/>
          </w:tcPr>
          <w:p>
            <w:pPr>
              <w:jc w:val="left"/>
            </w:pPr>
            <w:r/>
            <w:r>
              <w:rPr>
                <w:b w:val="0"/>
                <w:color w:val="1A1A1A"/>
                <w:sz w:val="18"/>
              </w:rPr>
              <w:t>7</w:t>
            </w:r>
          </w:p>
        </w:tc>
        <w:tc>
          <w:tcPr>
            <w:tcW w:type="dxa" w:w="737"/>
          </w:tcPr>
          <w:p>
            <w:pPr>
              <w:jc w:val="left"/>
            </w:pPr>
            <w:r/>
            <w:r>
              <w:rPr>
                <w:b w:val="0"/>
                <w:color w:val="1A1A1A"/>
                <w:sz w:val="18"/>
              </w:rPr>
              <w:t>T+105m</w:t>
            </w:r>
          </w:p>
        </w:tc>
        <w:tc>
          <w:tcPr>
            <w:tcW w:type="dxa" w:w="1417"/>
          </w:tcPr>
          <w:p>
            <w:pPr>
              <w:jc w:val="left"/>
            </w:pPr>
            <w:r/>
            <w:r>
              <w:rPr>
                <w:b w:val="0"/>
                <w:color w:val="1A1A1A"/>
                <w:sz w:val="18"/>
              </w:rPr>
              <w:t>Comms</w:t>
              <w:br/>
              <w:t>Radio</w:t>
            </w:r>
          </w:p>
        </w:tc>
        <w:tc>
          <w:tcPr>
            <w:tcW w:type="dxa" w:w="3685"/>
          </w:tcPr>
          <w:p>
            <w:pPr>
              <w:jc w:val="left"/>
            </w:pPr>
            <w:r/>
            <w:r>
              <w:rPr>
                <w:b w:val="0"/>
                <w:color w:val="1A1A1A"/>
                <w:sz w:val="18"/>
              </w:rPr>
              <w:t>FROM: Local Radio Station</w:t>
              <w:br/>
              <w:t>Reports indicate Barwon Water's service continuity is at risk due to staff shortages. Stakeholders demand transparency.</w:t>
              <w:br/>
              <w:t>[Directed to: Public]</w:t>
            </w:r>
          </w:p>
        </w:tc>
        <w:tc>
          <w:tcPr>
            <w:tcW w:type="dxa" w:w="2268"/>
          </w:tcPr>
          <w:p>
            <w:pPr>
              <w:jc w:val="left"/>
            </w:pPr>
            <w:r/>
            <w:r>
              <w:rPr>
                <w:b w:val="0"/>
                <w:color w:val="1A1A1A"/>
                <w:sz w:val="18"/>
              </w:rPr>
              <w:t>Enhance transparency in communications with stakeholders.</w:t>
            </w:r>
          </w:p>
        </w:tc>
        <w:tc>
          <w:tcPr>
            <w:tcW w:type="dxa" w:w="794"/>
          </w:tcPr>
          <w:p>
            <w:pPr>
              <w:jc w:val="left"/>
            </w:pPr>
            <w:r/>
            <w:r>
              <w:rPr>
                <w:b w:val="0"/>
                <w:color w:val="1A1A1A"/>
                <w:sz w:val="18"/>
              </w:rPr>
              <w:t>Transparent and timely communication with stakeholders.</w:t>
            </w:r>
          </w:p>
        </w:tc>
      </w:tr>
    </w:tbl>
    <w:p>
      <w:pPr>
        <w:spacing w:after="80"/>
      </w:pPr>
    </w:p>
    <w:p>
      <w:pPr>
        <w:spacing w:before="200" w:after="40"/>
      </w:pPr>
      <w:r>
        <w:rPr>
          <w:b/>
          <w:color w:val="00447A"/>
          <w:sz w:val="22"/>
        </w:rPr>
        <w:t>Phase: Transition to Recovery</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8</w:t>
            </w:r>
          </w:p>
        </w:tc>
        <w:tc>
          <w:tcPr>
            <w:tcW w:type="dxa" w:w="737"/>
          </w:tcPr>
          <w:p>
            <w:pPr>
              <w:jc w:val="left"/>
            </w:pPr>
            <w:r/>
            <w:r>
              <w:rPr>
                <w:b w:val="0"/>
                <w:color w:val="1A1A1A"/>
                <w:sz w:val="18"/>
              </w:rPr>
              <w:t>T+125m</w:t>
            </w:r>
          </w:p>
        </w:tc>
        <w:tc>
          <w:tcPr>
            <w:tcW w:type="dxa" w:w="1417"/>
          </w:tcPr>
          <w:p>
            <w:pPr>
              <w:jc w:val="left"/>
            </w:pPr>
            <w:r/>
            <w:r>
              <w:rPr>
                <w:b w:val="0"/>
                <w:color w:val="1A1A1A"/>
                <w:sz w:val="18"/>
              </w:rPr>
              <w:t>Decision</w:t>
              <w:br/>
              <w:t>Verbal</w:t>
            </w:r>
          </w:p>
        </w:tc>
        <w:tc>
          <w:tcPr>
            <w:tcW w:type="dxa" w:w="3685"/>
          </w:tcPr>
          <w:p>
            <w:pPr>
              <w:jc w:val="left"/>
            </w:pPr>
            <w:r/>
            <w:r>
              <w:rPr>
                <w:b w:val="0"/>
                <w:color w:val="1A1A1A"/>
                <w:sz w:val="18"/>
              </w:rPr>
              <w:t>FROM: Crisis Management Team Lead</w:t>
              <w:br/>
              <w:t>We need to decide if conditions are stable enough to move to recovery mode. Input needed.</w:t>
              <w:br/>
              <w:t>[Directed to: Crisis Management Team]</w:t>
            </w:r>
          </w:p>
        </w:tc>
        <w:tc>
          <w:tcPr>
            <w:tcW w:type="dxa" w:w="2268"/>
          </w:tcPr>
          <w:p>
            <w:pPr>
              <w:jc w:val="left"/>
            </w:pPr>
            <w:r/>
            <w:r>
              <w:rPr>
                <w:b w:val="0"/>
                <w:color w:val="1A1A1A"/>
                <w:sz w:val="18"/>
              </w:rPr>
              <w:t>Evaluate conditions and make a decision to initiate recovery.</w:t>
            </w:r>
          </w:p>
        </w:tc>
        <w:tc>
          <w:tcPr>
            <w:tcW w:type="dxa" w:w="794"/>
          </w:tcPr>
          <w:p>
            <w:pPr>
              <w:jc w:val="left"/>
            </w:pPr>
            <w:r/>
            <w:r>
              <w:rPr>
                <w:b w:val="0"/>
                <w:color w:val="1A1A1A"/>
                <w:sz w:val="18"/>
              </w:rPr>
              <w:t>Timely decision to initiate recovery phase.</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T+140m</w:t>
            </w:r>
          </w:p>
        </w:tc>
        <w:tc>
          <w:tcPr>
            <w:tcW w:type="dxa" w:w="1417"/>
            <w:shd w:val="clear" w:color="auto" w:fill="F0F2F4"/>
          </w:tcPr>
          <w:p>
            <w:pPr>
              <w:jc w:val="left"/>
            </w:pPr>
            <w:r/>
            <w:r>
              <w:rPr>
                <w:b w:val="0"/>
                <w:color w:val="1A1A1A"/>
                <w:sz w:val="18"/>
              </w:rPr>
              <w:t>Action</w:t>
              <w:br/>
              <w:t>Teams</w:t>
            </w:r>
          </w:p>
        </w:tc>
        <w:tc>
          <w:tcPr>
            <w:tcW w:type="dxa" w:w="3685"/>
            <w:shd w:val="clear" w:color="auto" w:fill="F0F2F4"/>
          </w:tcPr>
          <w:p>
            <w:pPr>
              <w:jc w:val="left"/>
            </w:pPr>
            <w:r/>
            <w:r>
              <w:rPr>
                <w:b w:val="0"/>
                <w:color w:val="1A1A1A"/>
                <w:sz w:val="18"/>
              </w:rPr>
              <w:t>FROM: Recovery Team Lead</w:t>
              <w:br/>
              <w:t>Recovery plans face hurdles due to unclear staff roles. Need immediate resolution.</w:t>
              <w:br/>
              <w:t>[Directed to: Crisis Management Team]</w:t>
            </w:r>
          </w:p>
        </w:tc>
        <w:tc>
          <w:tcPr>
            <w:tcW w:type="dxa" w:w="2268"/>
            <w:shd w:val="clear" w:color="auto" w:fill="F0F2F4"/>
          </w:tcPr>
          <w:p>
            <w:pPr>
              <w:jc w:val="left"/>
            </w:pPr>
            <w:r/>
            <w:r>
              <w:rPr>
                <w:b w:val="0"/>
                <w:color w:val="1A1A1A"/>
                <w:sz w:val="18"/>
              </w:rPr>
              <w:t>Clarify staff roles and resolve recovery plan challenges.</w:t>
            </w:r>
          </w:p>
        </w:tc>
        <w:tc>
          <w:tcPr>
            <w:tcW w:type="dxa" w:w="794"/>
            <w:shd w:val="clear" w:color="auto" w:fill="F0F2F4"/>
          </w:tcPr>
          <w:p>
            <w:pPr>
              <w:jc w:val="left"/>
            </w:pPr>
            <w:r/>
            <w:r>
              <w:rPr>
                <w:b w:val="0"/>
                <w:color w:val="1A1A1A"/>
                <w:sz w:val="18"/>
              </w:rPr>
              <w:t>Effective resolution of recovery plan challenges.</w:t>
            </w:r>
          </w:p>
        </w:tc>
      </w:tr>
      <w:tr>
        <w:tc>
          <w:tcPr>
            <w:tcW w:type="dxa" w:w="454"/>
          </w:tcPr>
          <w:p>
            <w:pPr>
              <w:jc w:val="left"/>
            </w:pPr>
            <w:r/>
            <w:r>
              <w:rPr>
                <w:b w:val="0"/>
                <w:color w:val="1A1A1A"/>
                <w:sz w:val="18"/>
              </w:rPr>
              <w:t>10</w:t>
            </w:r>
          </w:p>
        </w:tc>
        <w:tc>
          <w:tcPr>
            <w:tcW w:type="dxa" w:w="737"/>
          </w:tcPr>
          <w:p>
            <w:pPr>
              <w:jc w:val="left"/>
            </w:pPr>
            <w:r/>
            <w:r>
              <w:rPr>
                <w:b w:val="0"/>
                <w:color w:val="1A1A1A"/>
                <w:sz w:val="18"/>
              </w:rPr>
              <w:t>T+155m</w:t>
            </w:r>
          </w:p>
        </w:tc>
        <w:tc>
          <w:tcPr>
            <w:tcW w:type="dxa" w:w="1417"/>
          </w:tcPr>
          <w:p>
            <w:pPr>
              <w:jc w:val="left"/>
            </w:pPr>
            <w:r/>
            <w:r>
              <w:rPr>
                <w:b w:val="0"/>
                <w:color w:val="1A1A1A"/>
                <w:sz w:val="18"/>
              </w:rPr>
              <w:t>Comms</w:t>
              <w:br/>
              <w:t>Internal Memo</w:t>
            </w:r>
          </w:p>
        </w:tc>
        <w:tc>
          <w:tcPr>
            <w:tcW w:type="dxa" w:w="3685"/>
          </w:tcPr>
          <w:p>
            <w:pPr>
              <w:jc w:val="left"/>
            </w:pPr>
            <w:r/>
            <w:r>
              <w:rPr>
                <w:b w:val="0"/>
                <w:color w:val="1A1A1A"/>
                <w:sz w:val="18"/>
              </w:rPr>
              <w:t>FROM: Crisis Management Team Lead</w:t>
              <w:br/>
              <w:t>Subject: Recovery Status Update</w:t>
              <w:br/>
              <w:br/>
              <w:t>The transition to recovery is underway. Most services are stabilizing, but long-term staffing strategies need addressing. Full report to follow.</w:t>
              <w:br/>
              <w:br/>
              <w:t>Regards,</w:t>
              <w:br/>
              <w:t>Crisis Management Team Lead</w:t>
              <w:br/>
              <w:t>[Directed to: Executive Team]</w:t>
            </w:r>
          </w:p>
        </w:tc>
        <w:tc>
          <w:tcPr>
            <w:tcW w:type="dxa" w:w="2268"/>
          </w:tcPr>
          <w:p>
            <w:pPr>
              <w:jc w:val="left"/>
            </w:pPr>
            <w:r/>
            <w:r>
              <w:rPr>
                <w:b w:val="0"/>
                <w:color w:val="1A1A1A"/>
                <w:sz w:val="18"/>
              </w:rPr>
              <w:t>Communicate recovery status and plan for long-term staffing.</w:t>
            </w:r>
          </w:p>
        </w:tc>
        <w:tc>
          <w:tcPr>
            <w:tcW w:type="dxa" w:w="794"/>
          </w:tcPr>
          <w:p>
            <w:pPr>
              <w:jc w:val="left"/>
            </w:pPr>
            <w:r/>
            <w:r>
              <w:rPr>
                <w:b w:val="0"/>
                <w:color w:val="1A1A1A"/>
                <w:sz w:val="18"/>
              </w:rPr>
              <w:t>Clear communication and planning for long-term staffing strategies.</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News Bulletin</w:t>
            </w:r>
          </w:p>
        </w:tc>
        <w:tc>
          <w:tcPr>
            <w:tcW w:type="dxa" w:w="3685"/>
          </w:tcPr>
          <w:p>
            <w:pPr>
              <w:jc w:val="left"/>
            </w:pPr>
            <w:r/>
            <w:r>
              <w:rPr>
                <w:b w:val="0"/>
                <w:color w:val="1A1A1A"/>
                <w:sz w:val="18"/>
              </w:rPr>
              <w:t>Tensions are rising in the quarantine zones as residents express frustration over unclear regulations and extended isolation periods. Authorities report increased incidents of protests and non-compliance, complicating efforts to control the pandemic.</w:t>
            </w:r>
          </w:p>
        </w:tc>
        <w:tc>
          <w:tcPr>
            <w:tcW w:type="dxa" w:w="2268"/>
          </w:tcPr>
          <w:p>
            <w:pPr>
              <w:jc w:val="left"/>
            </w:pPr>
            <w:r/>
            <w:r>
              <w:rPr>
                <w:b w:val="0"/>
                <w:color w:val="1A1A1A"/>
                <w:sz w:val="18"/>
              </w:rPr>
              <w:t>Participants should assess the impact on operational stability and adjust communication strategies to address public concerns and maintain service continuity.</w:t>
            </w:r>
          </w:p>
        </w:tc>
        <w:tc>
          <w:tcPr>
            <w:tcW w:type="dxa" w:w="794"/>
          </w:tcPr>
          <w:p>
            <w:pPr>
              <w:jc w:val="left"/>
            </w:pPr>
            <w:r/>
            <w:r>
              <w:rPr>
                <w:b w:val="0"/>
                <w:color w:val="1A1A1A"/>
                <w:sz w:val="18"/>
              </w:rPr>
              <w:t>Successful identification of communication gaps, proactive media engagement, and effective public reassurance measures.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