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Global Pandemic</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preparedness and response capability in managing workforce disruptions due to a global pandemic.</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Global Pandemic</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Workforce Disruption</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Tabletop</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180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2026-06-12</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p>
      <w:pPr>
        <w:spacing w:after="80"/>
      </w:pPr>
      <w:r>
        <w:rPr>
          <w:color w:val="1A1A1A"/>
          <w:sz w:val="20"/>
        </w:rPr>
        <w:t>Risk / threat alignment: Loss of workforce, global uncertainty and enactment of BCPs</w:t>
      </w:r>
    </w:p>
    <w:p>
      <w:pPr>
        <w:spacing w:before="200" w:after="40"/>
      </w:pPr>
      <w:r>
        <w:rPr>
          <w:b/>
          <w:color w:val="00447A"/>
          <w:sz w:val="22"/>
        </w:rPr>
        <w:t>Plans Being Tested</w:t>
      </w:r>
    </w:p>
    <w:p>
      <w:pPr>
        <w:pStyle w:val="ListBullet"/>
      </w:pPr>
      <w:r>
        <w:rPr>
          <w:color w:val="1A1A1A"/>
          <w:sz w:val="20"/>
        </w:rPr>
        <w:t>Business Continuity Plan</w:t>
      </w:r>
    </w:p>
    <w:p>
      <w:pPr>
        <w:pStyle w:val="ListBullet"/>
      </w:pPr>
      <w:r>
        <w:rPr>
          <w:color w:val="1A1A1A"/>
          <w:sz w:val="20"/>
        </w:rPr>
        <w:t>Crisis Management Plan</w:t>
      </w:r>
    </w:p>
    <w:p>
      <w:pPr>
        <w:pStyle w:val="ListBullet"/>
      </w:pPr>
      <w:r>
        <w:rPr>
          <w:color w:val="1A1A1A"/>
          <w:sz w:val="20"/>
        </w:rPr>
        <w:t>Enterprise BCP</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activation of the Crisis Management and Business Continuity Plans within 30 minutes of a pandemic alert.</w:t>
            </w:r>
          </w:p>
        </w:tc>
        <w:tc>
          <w:tcPr>
            <w:tcW w:type="dxa" w:w="1984"/>
          </w:tcPr>
          <w:p>
            <w:pPr>
              <w:jc w:val="left"/>
            </w:pPr>
            <w:r/>
            <w:r>
              <w:rPr>
                <w:b w:val="0"/>
                <w:color w:val="1A1A1A"/>
                <w:sz w:val="18"/>
              </w:rPr>
              <w:t>Incident Escalation</w:t>
            </w:r>
          </w:p>
        </w:tc>
        <w:tc>
          <w:tcPr>
            <w:tcW w:type="dxa" w:w="3231"/>
          </w:tcPr>
          <w:p>
            <w:pPr>
              <w:jc w:val="left"/>
            </w:pPr>
            <w:r/>
            <w:r>
              <w:rPr>
                <w:b w:val="0"/>
                <w:color w:val="1A1A1A"/>
                <w:sz w:val="18"/>
              </w:rPr>
              <w:t>Crisis Management Team convenes and actions initial response steps within 30 minutes of alert.</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effectiveness of internal and external communications during a workforce disruption scenario.</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Communications are timely, consistent, and align with the established crisis communications plan.</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ability to maintain critical water supply and wastewater management services with a reduced workforce.</w:t>
            </w:r>
          </w:p>
        </w:tc>
        <w:tc>
          <w:tcPr>
            <w:tcW w:type="dxa" w:w="1984"/>
          </w:tcPr>
          <w:p>
            <w:pPr>
              <w:jc w:val="left"/>
            </w:pPr>
            <w:r/>
            <w:r>
              <w:rPr>
                <w:b w:val="0"/>
                <w:color w:val="1A1A1A"/>
                <w:sz w:val="18"/>
              </w:rPr>
              <w:t>Service Continuity</w:t>
            </w:r>
          </w:p>
        </w:tc>
        <w:tc>
          <w:tcPr>
            <w:tcW w:type="dxa" w:w="3231"/>
          </w:tcPr>
          <w:p>
            <w:pPr>
              <w:jc w:val="left"/>
            </w:pPr>
            <w:r/>
            <w:r>
              <w:rPr>
                <w:b w:val="0"/>
                <w:color w:val="1A1A1A"/>
                <w:sz w:val="18"/>
              </w:rPr>
              <w:t>Critical services continue without interruption, meeting established Minimum Business Continuity Objectives (MBCO).</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decision-making processes for transitioning from response to recovery phases during the pandemic.</w:t>
            </w:r>
          </w:p>
        </w:tc>
        <w:tc>
          <w:tcPr>
            <w:tcW w:type="dxa" w:w="1984"/>
            <w:shd w:val="clear" w:color="auto" w:fill="F0F2F4"/>
          </w:tcPr>
          <w:p>
            <w:pPr>
              <w:jc w:val="left"/>
            </w:pPr>
            <w:r/>
            <w:r>
              <w:rPr>
                <w:b w:val="0"/>
                <w:color w:val="1A1A1A"/>
                <w:sz w:val="18"/>
              </w:rPr>
              <w:t>Decision-Making</w:t>
            </w:r>
          </w:p>
        </w:tc>
        <w:tc>
          <w:tcPr>
            <w:tcW w:type="dxa" w:w="3231"/>
            <w:shd w:val="clear" w:color="auto" w:fill="F0F2F4"/>
          </w:tcPr>
          <w:p>
            <w:pPr>
              <w:jc w:val="left"/>
            </w:pPr>
            <w:r/>
            <w:r>
              <w:rPr>
                <w:b w:val="0"/>
                <w:color w:val="1A1A1A"/>
                <w:sz w:val="18"/>
              </w:rPr>
              <w:t>Decisions to shift to recovery mode are made within 4 hours of stabilizing the workforce disruption situation.</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Barwon Water, a major regional water utility provider, is facing an unprecedented challenge as a rapidly spreading new variant of a global pandemic emerges. The pandemic primarily affects urban areas in Victoria, Australia, leading to a significant portion of the workforce being unable to report to work due to illness or quarantine measures. As the situation unfolds, the organisation struggles to maintain critical water supply and wastewater management services. Key services are at risk due to workforce shortages, and there is mounting pressure from regulators and the media to ensure continuity of essential services. The crisis management team must navigate the complexities of reduced staffing while managing external communications and stakeholder expectations.</w:t>
      </w:r>
    </w:p>
    <w:p>
      <w:pPr>
        <w:spacing w:before="200" w:after="40"/>
      </w:pPr>
      <w:r>
        <w:rPr>
          <w:b/>
          <w:color w:val="00447A"/>
          <w:sz w:val="22"/>
        </w:rPr>
        <w:t>Trigger Event</w:t>
      </w:r>
    </w:p>
    <w:p>
      <w:pPr>
        <w:spacing w:after="80"/>
      </w:pPr>
      <w:r>
        <w:rPr>
          <w:color w:val="1A1A1A"/>
          <w:sz w:val="20"/>
        </w:rPr>
        <w:t>At 08:00, the Chief Medical Officer issues a pandemic alert detailing a new variant of the virus spreading rapidly in Victoria, Australia, leading to immediate government-imposed restrictions and public health measures.</w:t>
      </w:r>
    </w:p>
    <w:p>
      <w:pPr>
        <w:spacing w:before="200" w:after="40"/>
      </w:pPr>
      <w:r>
        <w:rPr>
          <w:b/>
          <w:color w:val="00447A"/>
          <w:sz w:val="22"/>
        </w:rPr>
        <w:t>What Is Known at Exercise Start</w:t>
      </w:r>
    </w:p>
    <w:p>
      <w:pPr>
        <w:spacing w:after="80"/>
      </w:pPr>
      <w:r>
        <w:rPr>
          <w:color w:val="1A1A1A"/>
          <w:sz w:val="20"/>
        </w:rPr>
        <w:t>- A pandemic alert has been issued for Victoria</w:t>
      </w:r>
    </w:p>
    <w:p>
      <w:pPr>
        <w:spacing w:after="80"/>
      </w:pPr>
      <w:r>
        <w:rPr>
          <w:color w:val="1A1A1A"/>
          <w:sz w:val="20"/>
        </w:rPr>
        <w:t>- Workforce numbers are expected to drop significantly</w:t>
      </w:r>
    </w:p>
    <w:p>
      <w:pPr>
        <w:spacing w:after="80"/>
      </w:pPr>
      <w:r>
        <w:rPr>
          <w:color w:val="1A1A1A"/>
          <w:sz w:val="20"/>
        </w:rPr>
        <w:t>- Government restrictions are in place, affecting movement and gatherings</w:t>
      </w:r>
    </w:p>
    <w:p>
      <w:pPr>
        <w:spacing w:after="80"/>
      </w:pPr>
      <w:r>
        <w:rPr>
          <w:color w:val="1A1A1A"/>
          <w:sz w:val="20"/>
        </w:rPr>
        <w:t>- Key customers and stakeholders are demanding continuity assurances</w:t>
      </w:r>
    </w:p>
    <w:p>
      <w:pPr>
        <w:spacing w:before="200" w:after="40"/>
      </w:pPr>
      <w:r>
        <w:rPr>
          <w:b/>
          <w:color w:val="00447A"/>
          <w:sz w:val="22"/>
        </w:rPr>
        <w:t>What Remains Unknown</w:t>
      </w:r>
    </w:p>
    <w:p>
      <w:pPr>
        <w:spacing w:after="80"/>
      </w:pPr>
      <w:r>
        <w:rPr>
          <w:color w:val="1A1A1A"/>
          <w:sz w:val="20"/>
        </w:rPr>
        <w:t>- The exact impact on staff availability and operations</w:t>
      </w:r>
    </w:p>
    <w:p>
      <w:pPr>
        <w:spacing w:after="80"/>
      </w:pPr>
      <w:r>
        <w:rPr>
          <w:color w:val="1A1A1A"/>
          <w:sz w:val="20"/>
        </w:rPr>
        <w:t>- How long the restrictions will remain in place</w:t>
      </w:r>
    </w:p>
    <w:p>
      <w:pPr>
        <w:spacing w:after="80"/>
      </w:pPr>
      <w:r>
        <w:rPr>
          <w:color w:val="1A1A1A"/>
          <w:sz w:val="20"/>
        </w:rPr>
        <w:t>- The full extent of service disruptions</w:t>
      </w:r>
    </w:p>
    <w:p>
      <w:pPr>
        <w:spacing w:after="80"/>
      </w:pPr>
      <w:r>
        <w:rPr>
          <w:color w:val="1A1A1A"/>
          <w:sz w:val="20"/>
        </w:rPr>
        <w:t>- The specific expectations and requirements of regulators</w:t>
      </w:r>
    </w:p>
    <w:p>
      <w:pPr>
        <w:spacing w:before="200" w:after="40"/>
      </w:pPr>
      <w:r>
        <w:rPr>
          <w:b/>
          <w:color w:val="00447A"/>
          <w:sz w:val="22"/>
        </w:rPr>
        <w:t>Exercise Assumptions and Artificialities</w:t>
      </w:r>
    </w:p>
    <w:p>
      <w:pPr>
        <w:spacing w:after="80"/>
      </w:pPr>
      <w:r>
        <w:rPr>
          <w:color w:val="1A1A1A"/>
          <w:sz w:val="20"/>
        </w:rPr>
        <w:t>- The exercise simulates a worst-case scenario with a 30% workforce reduction</w:t>
      </w:r>
    </w:p>
    <w:p>
      <w:pPr>
        <w:spacing w:after="80"/>
      </w:pPr>
      <w:r>
        <w:rPr>
          <w:color w:val="1A1A1A"/>
          <w:sz w:val="20"/>
        </w:rPr>
        <w:t>- Communications systems remain operational throughout</w:t>
      </w:r>
    </w:p>
    <w:p>
      <w:pPr>
        <w:spacing w:after="80"/>
      </w:pPr>
      <w:r>
        <w:rPr>
          <w:color w:val="1A1A1A"/>
          <w:sz w:val="20"/>
        </w:rPr>
        <w:t>- No actual health risks to participants during the exercise</w:t>
      </w:r>
    </w:p>
    <w:p>
      <w:pPr>
        <w:spacing w:after="80"/>
      </w:pPr>
      <w:r>
        <w:rPr>
          <w:color w:val="1A1A1A"/>
          <w:sz w:val="20"/>
        </w:rPr>
        <w:t>- All actions are simulated and do not affect real operations</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680"/>
            <w:shd w:val="clear" w:color="auto" w:fill="0D1B2A"/>
          </w:tcPr>
          <w:p>
            <w:pPr>
              <w:jc w:val="left"/>
            </w:pPr>
            <w:r/>
            <w:r>
              <w:rPr>
                <w:b/>
                <w:color w:val="FFFFFF"/>
                <w:sz w:val="18"/>
              </w:rPr>
              <w:t>Phase</w:t>
            </w:r>
          </w:p>
        </w:tc>
        <w:tc>
          <w:tcPr>
            <w:tcW w:type="dxa" w:w="2154"/>
            <w:shd w:val="clear" w:color="auto" w:fill="0D1B2A"/>
          </w:tcPr>
          <w:p>
            <w:pPr>
              <w:jc w:val="left"/>
            </w:pPr>
            <w:r/>
            <w:r>
              <w:rPr>
                <w:b/>
                <w:color w:val="FFFFFF"/>
                <w:sz w:val="18"/>
              </w:rPr>
              <w:t>Name</w:t>
            </w:r>
          </w:p>
        </w:tc>
        <w:tc>
          <w:tcPr>
            <w:tcW w:type="dxa" w:w="1417"/>
            <w:shd w:val="clear" w:color="auto" w:fill="0D1B2A"/>
          </w:tcPr>
          <w:p>
            <w:pPr>
              <w:jc w:val="left"/>
            </w:pPr>
            <w:r/>
            <w:r>
              <w:rPr>
                <w:b/>
                <w:color w:val="FFFFFF"/>
                <w:sz w:val="18"/>
              </w:rPr>
              <w:t>Start</w:t>
            </w:r>
          </w:p>
        </w:tc>
        <w:tc>
          <w:tcPr>
            <w:tcW w:type="dxa" w:w="1417"/>
            <w:shd w:val="clear" w:color="auto" w:fill="0D1B2A"/>
          </w:tcPr>
          <w:p>
            <w:pPr>
              <w:jc w:val="left"/>
            </w:pPr>
            <w:r/>
            <w:r>
              <w:rPr>
                <w:b/>
                <w:color w:val="FFFFFF"/>
                <w:sz w:val="18"/>
              </w:rPr>
              <w:t>End</w:t>
            </w:r>
          </w:p>
        </w:tc>
        <w:tc>
          <w:tcPr>
            <w:tcW w:type="dxa" w:w="3685"/>
            <w:shd w:val="clear" w:color="auto" w:fill="0D1B2A"/>
          </w:tcPr>
          <w:p>
            <w:pPr>
              <w:jc w:val="left"/>
            </w:pPr>
            <w:r/>
            <w:r>
              <w:rPr>
                <w:b/>
                <w:color w:val="FFFFFF"/>
                <w:sz w:val="18"/>
              </w:rPr>
              <w:t>Focus</w:t>
            </w:r>
          </w:p>
        </w:tc>
      </w:tr>
      <w:tr>
        <w:tc>
          <w:tcPr>
            <w:tcW w:type="dxa" w:w="680"/>
          </w:tcPr>
          <w:p>
            <w:pPr>
              <w:jc w:val="left"/>
            </w:pPr>
            <w:r/>
            <w:r>
              <w:rPr>
                <w:b w:val="0"/>
                <w:color w:val="1A1A1A"/>
                <w:sz w:val="18"/>
              </w:rPr>
              <w:t>1</w:t>
            </w:r>
          </w:p>
        </w:tc>
        <w:tc>
          <w:tcPr>
            <w:tcW w:type="dxa" w:w="2154"/>
          </w:tcPr>
          <w:p>
            <w:pPr>
              <w:jc w:val="left"/>
            </w:pPr>
            <w:r/>
            <w:r>
              <w:rPr>
                <w:b w:val="0"/>
                <w:color w:val="1A1A1A"/>
                <w:sz w:val="18"/>
              </w:rPr>
              <w:t>Activation and Initial Response</w:t>
            </w:r>
          </w:p>
        </w:tc>
        <w:tc>
          <w:tcPr>
            <w:tcW w:type="dxa" w:w="1417"/>
          </w:tcPr>
          <w:p>
            <w:pPr>
              <w:jc w:val="left"/>
            </w:pPr>
            <w:r/>
            <w:r>
              <w:rPr>
                <w:b w:val="0"/>
                <w:color w:val="1A1A1A"/>
                <w:sz w:val="18"/>
              </w:rPr>
              <w:t>T+0 min</w:t>
            </w:r>
          </w:p>
        </w:tc>
        <w:tc>
          <w:tcPr>
            <w:tcW w:type="dxa" w:w="1417"/>
          </w:tcPr>
          <w:p>
            <w:pPr>
              <w:jc w:val="left"/>
            </w:pPr>
            <w:r/>
            <w:r>
              <w:rPr>
                <w:b w:val="0"/>
                <w:color w:val="1A1A1A"/>
                <w:sz w:val="18"/>
              </w:rPr>
              <w:t>T+30 min</w:t>
            </w:r>
          </w:p>
        </w:tc>
        <w:tc>
          <w:tcPr>
            <w:tcW w:type="dxa" w:w="3685"/>
          </w:tcPr>
          <w:p>
            <w:pPr>
              <w:jc w:val="left"/>
            </w:pPr>
            <w:r/>
            <w:r>
              <w:rPr>
                <w:b w:val="0"/>
                <w:color w:val="1A1A1A"/>
                <w:sz w:val="18"/>
              </w:rPr>
              <w:t>Test the activation of Crisis Management and Business Continuity Plans within 30 minutes of a pandemic alert.</w:t>
            </w:r>
          </w:p>
        </w:tc>
      </w:tr>
      <w:tr>
        <w:tc>
          <w:tcPr>
            <w:tcW w:type="dxa" w:w="680"/>
            <w:shd w:val="clear" w:color="auto" w:fill="F0F2F4"/>
          </w:tcPr>
          <w:p>
            <w:pPr>
              <w:jc w:val="left"/>
            </w:pPr>
            <w:r/>
            <w:r>
              <w:rPr>
                <w:b w:val="0"/>
                <w:color w:val="1A1A1A"/>
                <w:sz w:val="18"/>
              </w:rPr>
              <w:t>2</w:t>
            </w:r>
          </w:p>
        </w:tc>
        <w:tc>
          <w:tcPr>
            <w:tcW w:type="dxa" w:w="2154"/>
            <w:shd w:val="clear" w:color="auto" w:fill="F0F2F4"/>
          </w:tcPr>
          <w:p>
            <w:pPr>
              <w:jc w:val="left"/>
            </w:pPr>
            <w:r/>
            <w:r>
              <w:rPr>
                <w:b w:val="0"/>
                <w:color w:val="1A1A1A"/>
                <w:sz w:val="18"/>
              </w:rPr>
              <w:t>Communication and Coordination</w:t>
            </w:r>
          </w:p>
        </w:tc>
        <w:tc>
          <w:tcPr>
            <w:tcW w:type="dxa" w:w="1417"/>
            <w:shd w:val="clear" w:color="auto" w:fill="F0F2F4"/>
          </w:tcPr>
          <w:p>
            <w:pPr>
              <w:jc w:val="left"/>
            </w:pPr>
            <w:r/>
            <w:r>
              <w:rPr>
                <w:b w:val="0"/>
                <w:color w:val="1A1A1A"/>
                <w:sz w:val="18"/>
              </w:rPr>
              <w:t>T+30 min</w:t>
            </w:r>
          </w:p>
        </w:tc>
        <w:tc>
          <w:tcPr>
            <w:tcW w:type="dxa" w:w="1417"/>
            <w:shd w:val="clear" w:color="auto" w:fill="F0F2F4"/>
          </w:tcPr>
          <w:p>
            <w:pPr>
              <w:jc w:val="left"/>
            </w:pPr>
            <w:r/>
            <w:r>
              <w:rPr>
                <w:b w:val="0"/>
                <w:color w:val="1A1A1A"/>
                <w:sz w:val="18"/>
              </w:rPr>
              <w:t>T+75 min</w:t>
            </w:r>
          </w:p>
        </w:tc>
        <w:tc>
          <w:tcPr>
            <w:tcW w:type="dxa" w:w="3685"/>
            <w:shd w:val="clear" w:color="auto" w:fill="F0F2F4"/>
          </w:tcPr>
          <w:p>
            <w:pPr>
              <w:jc w:val="left"/>
            </w:pPr>
            <w:r/>
            <w:r>
              <w:rPr>
                <w:b w:val="0"/>
                <w:color w:val="1A1A1A"/>
                <w:sz w:val="18"/>
              </w:rPr>
              <w:t>Validate the effectiveness of internal and external communications during a workforce disruption scenario.</w:t>
            </w:r>
          </w:p>
        </w:tc>
      </w:tr>
      <w:tr>
        <w:tc>
          <w:tcPr>
            <w:tcW w:type="dxa" w:w="680"/>
          </w:tcPr>
          <w:p>
            <w:pPr>
              <w:jc w:val="left"/>
            </w:pPr>
            <w:r/>
            <w:r>
              <w:rPr>
                <w:b w:val="0"/>
                <w:color w:val="1A1A1A"/>
                <w:sz w:val="18"/>
              </w:rPr>
              <w:t>3</w:t>
            </w:r>
          </w:p>
        </w:tc>
        <w:tc>
          <w:tcPr>
            <w:tcW w:type="dxa" w:w="2154"/>
          </w:tcPr>
          <w:p>
            <w:pPr>
              <w:jc w:val="left"/>
            </w:pPr>
            <w:r/>
            <w:r>
              <w:rPr>
                <w:b w:val="0"/>
                <w:color w:val="1A1A1A"/>
                <w:sz w:val="18"/>
              </w:rPr>
              <w:t>Operational Continuity</w:t>
            </w:r>
          </w:p>
        </w:tc>
        <w:tc>
          <w:tcPr>
            <w:tcW w:type="dxa" w:w="1417"/>
          </w:tcPr>
          <w:p>
            <w:pPr>
              <w:jc w:val="left"/>
            </w:pPr>
            <w:r/>
            <w:r>
              <w:rPr>
                <w:b w:val="0"/>
                <w:color w:val="1A1A1A"/>
                <w:sz w:val="18"/>
              </w:rPr>
              <w:t>T+75 min</w:t>
            </w:r>
          </w:p>
        </w:tc>
        <w:tc>
          <w:tcPr>
            <w:tcW w:type="dxa" w:w="1417"/>
          </w:tcPr>
          <w:p>
            <w:pPr>
              <w:jc w:val="left"/>
            </w:pPr>
            <w:r/>
            <w:r>
              <w:rPr>
                <w:b w:val="0"/>
                <w:color w:val="1A1A1A"/>
                <w:sz w:val="18"/>
              </w:rPr>
              <w:t>T+120 min</w:t>
            </w:r>
          </w:p>
        </w:tc>
        <w:tc>
          <w:tcPr>
            <w:tcW w:type="dxa" w:w="3685"/>
          </w:tcPr>
          <w:p>
            <w:pPr>
              <w:jc w:val="left"/>
            </w:pPr>
            <w:r/>
            <w:r>
              <w:rPr>
                <w:b w:val="0"/>
                <w:color w:val="1A1A1A"/>
                <w:sz w:val="18"/>
              </w:rPr>
              <w:t>Assess the ability to maintain critical water supply and wastewater management services with a reduced workforce.</w:t>
            </w:r>
          </w:p>
        </w:tc>
      </w:tr>
      <w:tr>
        <w:tc>
          <w:tcPr>
            <w:tcW w:type="dxa" w:w="680"/>
            <w:shd w:val="clear" w:color="auto" w:fill="F0F2F4"/>
          </w:tcPr>
          <w:p>
            <w:pPr>
              <w:jc w:val="left"/>
            </w:pPr>
            <w:r/>
            <w:r>
              <w:rPr>
                <w:b w:val="0"/>
                <w:color w:val="1A1A1A"/>
                <w:sz w:val="18"/>
              </w:rPr>
              <w:t>4</w:t>
            </w:r>
          </w:p>
        </w:tc>
        <w:tc>
          <w:tcPr>
            <w:tcW w:type="dxa" w:w="2154"/>
            <w:shd w:val="clear" w:color="auto" w:fill="F0F2F4"/>
          </w:tcPr>
          <w:p>
            <w:pPr>
              <w:jc w:val="left"/>
            </w:pPr>
            <w:r/>
            <w:r>
              <w:rPr>
                <w:b w:val="0"/>
                <w:color w:val="1A1A1A"/>
                <w:sz w:val="18"/>
              </w:rPr>
              <w:t>Transition to Recovery</w:t>
            </w:r>
          </w:p>
        </w:tc>
        <w:tc>
          <w:tcPr>
            <w:tcW w:type="dxa" w:w="1417"/>
            <w:shd w:val="clear" w:color="auto" w:fill="F0F2F4"/>
          </w:tcPr>
          <w:p>
            <w:pPr>
              <w:jc w:val="left"/>
            </w:pPr>
            <w:r/>
            <w:r>
              <w:rPr>
                <w:b w:val="0"/>
                <w:color w:val="1A1A1A"/>
                <w:sz w:val="18"/>
              </w:rPr>
              <w:t>T+120 min</w:t>
            </w:r>
          </w:p>
        </w:tc>
        <w:tc>
          <w:tcPr>
            <w:tcW w:type="dxa" w:w="1417"/>
            <w:shd w:val="clear" w:color="auto" w:fill="F0F2F4"/>
          </w:tcPr>
          <w:p>
            <w:pPr>
              <w:jc w:val="left"/>
            </w:pPr>
            <w:r/>
            <w:r>
              <w:rPr>
                <w:b w:val="0"/>
                <w:color w:val="1A1A1A"/>
                <w:sz w:val="18"/>
              </w:rPr>
              <w:t>T+160 min</w:t>
            </w:r>
          </w:p>
        </w:tc>
        <w:tc>
          <w:tcPr>
            <w:tcW w:type="dxa" w:w="3685"/>
            <w:shd w:val="clear" w:color="auto" w:fill="F0F2F4"/>
          </w:tcPr>
          <w:p>
            <w:pPr>
              <w:jc w:val="left"/>
            </w:pPr>
            <w:r/>
            <w:r>
              <w:rPr>
                <w:b w:val="0"/>
                <w:color w:val="1A1A1A"/>
                <w:sz w:val="18"/>
              </w:rPr>
              <w:t>Evaluate decision-making processes for transitioning from response to recovery phases during the pandemic.</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Business Continuity Plan</w:t>
            </w:r>
          </w:p>
        </w:tc>
        <w:tc>
          <w:tcPr>
            <w:tcW w:type="dxa" w:w="4819"/>
          </w:tcPr>
          <w:p>
            <w:pPr>
              <w:jc w:val="left"/>
            </w:pPr>
            <w:r/>
            <w:r>
              <w:rPr>
                <w:b w:val="0"/>
                <w:color w:val="1A1A1A"/>
                <w:sz w:val="18"/>
              </w:rPr>
              <w:t>Primary — under test in this exercise</w:t>
            </w:r>
          </w:p>
        </w:tc>
      </w:tr>
      <w:tr>
        <w:tc>
          <w:tcPr>
            <w:tcW w:type="dxa" w:w="4535"/>
            <w:shd w:val="clear" w:color="auto" w:fill="F0F2F4"/>
          </w:tcPr>
          <w:p>
            <w:pPr>
              <w:jc w:val="left"/>
            </w:pPr>
            <w:r/>
            <w:r>
              <w:rPr>
                <w:b w:val="0"/>
                <w:color w:val="1A1A1A"/>
                <w:sz w:val="18"/>
              </w:rPr>
              <w:t>Crisis Management Plan</w:t>
            </w:r>
          </w:p>
        </w:tc>
        <w:tc>
          <w:tcPr>
            <w:tcW w:type="dxa" w:w="4819"/>
            <w:shd w:val="clear" w:color="auto" w:fill="F0F2F4"/>
          </w:tcPr>
          <w:p>
            <w:pPr>
              <w:jc w:val="left"/>
            </w:pPr>
            <w:r/>
            <w:r>
              <w:rPr>
                <w:b w:val="0"/>
                <w:color w:val="1A1A1A"/>
                <w:sz w:val="18"/>
              </w:rPr>
              <w:t>Primary — under test in this exercise</w:t>
            </w:r>
          </w:p>
        </w:tc>
      </w:tr>
      <w:tr>
        <w:tc>
          <w:tcPr>
            <w:tcW w:type="dxa" w:w="4535"/>
          </w:tcPr>
          <w:p>
            <w:pPr>
              <w:jc w:val="left"/>
            </w:pPr>
            <w:r/>
            <w:r>
              <w:rPr>
                <w:b w:val="0"/>
                <w:color w:val="1A1A1A"/>
                <w:sz w:val="18"/>
              </w:rPr>
              <w:t>Enterprise BCP</w:t>
            </w:r>
          </w:p>
        </w:tc>
        <w:tc>
          <w:tcPr>
            <w:tcW w:type="dxa" w:w="4819"/>
          </w:tcPr>
          <w:p>
            <w:pPr>
              <w:jc w:val="left"/>
            </w:pPr>
            <w:r/>
            <w:r>
              <w:rPr>
                <w:b w:val="0"/>
                <w:color w:val="1A1A1A"/>
                <w:sz w:val="18"/>
              </w:rPr>
              <w:t>Primary — under test in this exercise</w:t>
            </w:r>
          </w:p>
        </w:tc>
      </w:tr>
      <w:tr>
        <w:tc>
          <w:tcPr>
            <w:tcW w:type="dxa" w:w="4535"/>
            <w:shd w:val="clear" w:color="auto" w:fill="F0F2F4"/>
          </w:tcPr>
          <w:p>
            <w:pPr>
              <w:jc w:val="left"/>
            </w:pPr>
            <w:r/>
            <w:r>
              <w:rPr>
                <w:b w:val="0"/>
                <w:color w:val="1A1A1A"/>
                <w:sz w:val="18"/>
              </w:rPr>
              <w:t>People</w:t>
            </w:r>
          </w:p>
        </w:tc>
        <w:tc>
          <w:tcPr>
            <w:tcW w:type="dxa" w:w="4819"/>
            <w:shd w:val="clear" w:color="auto" w:fill="F0F2F4"/>
          </w:tcPr>
          <w:p>
            <w:pPr>
              <w:jc w:val="left"/>
            </w:pPr>
            <w:r/>
            <w:r>
              <w:rPr>
                <w:b w:val="0"/>
                <w:color w:val="1A1A1A"/>
                <w:sz w:val="18"/>
              </w:rPr>
              <w:t>Related dependency — referenced but not primary focus</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Global Pandemic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